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202D" w14:textId="1FEDACE9" w:rsidR="0086567F" w:rsidRPr="00E941EF" w:rsidRDefault="0086567F" w:rsidP="00171361">
      <w:pPr>
        <w:rPr>
          <w:rFonts w:ascii="Arial" w:eastAsia="Times New Roman" w:hAnsi="Arial" w:cs="Arial"/>
          <w:b/>
          <w:bCs/>
          <w:color w:val="FF0000"/>
          <w:sz w:val="21"/>
          <w:szCs w:val="21"/>
        </w:rPr>
      </w:pPr>
      <w:bookmarkStart w:id="0" w:name="_Hlk130282626"/>
      <w:bookmarkStart w:id="1" w:name="_Hlk127867611"/>
      <w:r w:rsidRPr="00E941EF">
        <w:rPr>
          <w:rFonts w:ascii="Arial" w:eastAsia="Times New Roman" w:hAnsi="Arial" w:cs="Arial"/>
          <w:b/>
          <w:bCs/>
          <w:color w:val="FF0000"/>
          <w:sz w:val="21"/>
          <w:szCs w:val="21"/>
        </w:rPr>
        <w:t>[SAMPLE NOTICE FOR PLAN SPONSORS]</w:t>
      </w:r>
    </w:p>
    <w:p w14:paraId="7C0F31A5" w14:textId="77777777" w:rsidR="0086567F" w:rsidRPr="00E941EF" w:rsidRDefault="0086567F" w:rsidP="00171361">
      <w:pPr>
        <w:rPr>
          <w:rFonts w:ascii="Arial" w:eastAsia="Times New Roman" w:hAnsi="Arial" w:cs="Arial"/>
          <w:b/>
          <w:bCs/>
          <w:color w:val="FF0000"/>
          <w:sz w:val="21"/>
          <w:szCs w:val="21"/>
        </w:rPr>
      </w:pPr>
    </w:p>
    <w:p w14:paraId="520B2E51" w14:textId="7FA626E6" w:rsidR="00BF19B2" w:rsidRPr="00E941EF" w:rsidRDefault="00BF19B2" w:rsidP="00171361">
      <w:pPr>
        <w:rPr>
          <w:rFonts w:ascii="Arial" w:eastAsia="Times New Roman" w:hAnsi="Arial" w:cs="Arial"/>
          <w:b/>
          <w:bCs/>
          <w:sz w:val="21"/>
          <w:szCs w:val="21"/>
        </w:rPr>
      </w:pPr>
      <w:r w:rsidRPr="00E941EF">
        <w:rPr>
          <w:rFonts w:ascii="Arial" w:eastAsia="Times New Roman" w:hAnsi="Arial" w:cs="Arial"/>
          <w:b/>
          <w:bCs/>
          <w:sz w:val="21"/>
          <w:szCs w:val="21"/>
        </w:rPr>
        <w:t xml:space="preserve">NOTICE TO INDIVIDUALS ENROLLED IN THE </w:t>
      </w:r>
      <w:r w:rsidR="0086567F" w:rsidRPr="00E941EF">
        <w:rPr>
          <w:rFonts w:ascii="Arial" w:eastAsia="Times New Roman" w:hAnsi="Arial" w:cs="Arial"/>
          <w:b/>
          <w:bCs/>
          <w:sz w:val="21"/>
          <w:szCs w:val="21"/>
          <w:highlight w:val="yellow"/>
          <w:u w:val="single"/>
        </w:rPr>
        <w:t>[</w:t>
      </w:r>
      <w:r w:rsidR="0086567F" w:rsidRPr="00E941EF">
        <w:rPr>
          <w:rFonts w:ascii="Arial" w:eastAsia="Times New Roman" w:hAnsi="Arial" w:cs="Arial"/>
          <w:b/>
          <w:bCs/>
          <w:caps/>
          <w:sz w:val="21"/>
          <w:szCs w:val="21"/>
          <w:highlight w:val="yellow"/>
          <w:u w:val="single"/>
        </w:rPr>
        <w:t>Insert Name of Employer Here</w:t>
      </w:r>
      <w:r w:rsidR="0086567F" w:rsidRPr="00E941EF">
        <w:rPr>
          <w:rFonts w:ascii="Arial" w:eastAsia="Times New Roman" w:hAnsi="Arial" w:cs="Arial"/>
          <w:b/>
          <w:bCs/>
          <w:sz w:val="21"/>
          <w:szCs w:val="21"/>
          <w:highlight w:val="yellow"/>
          <w:u w:val="single"/>
        </w:rPr>
        <w:t>]</w:t>
      </w:r>
      <w:r w:rsidRPr="00E941EF">
        <w:rPr>
          <w:rFonts w:ascii="Arial" w:eastAsia="Times New Roman" w:hAnsi="Arial" w:cs="Arial"/>
          <w:b/>
          <w:bCs/>
          <w:sz w:val="21"/>
          <w:szCs w:val="21"/>
        </w:rPr>
        <w:t xml:space="preserve"> GROUP HEALTH PLAN</w:t>
      </w:r>
    </w:p>
    <w:bookmarkEnd w:id="0"/>
    <w:p w14:paraId="549DD351" w14:textId="43040107" w:rsidR="007810A6" w:rsidRPr="00E941EF" w:rsidRDefault="00113303" w:rsidP="00E941EF">
      <w:pPr>
        <w:rPr>
          <w:rFonts w:ascii="Arial" w:hAnsi="Arial" w:cs="Arial"/>
          <w:sz w:val="21"/>
          <w:szCs w:val="21"/>
        </w:rPr>
      </w:pPr>
      <w:r w:rsidRPr="00E941EF">
        <w:rPr>
          <w:rFonts w:ascii="Arial" w:hAnsi="Arial" w:cs="Arial"/>
          <w:sz w:val="21"/>
          <w:szCs w:val="21"/>
        </w:rPr>
        <w:t xml:space="preserve">The Biden Administration recently announced </w:t>
      </w:r>
      <w:r w:rsidR="003C743F" w:rsidRPr="00E941EF">
        <w:rPr>
          <w:rFonts w:ascii="Arial" w:hAnsi="Arial" w:cs="Arial"/>
          <w:sz w:val="21"/>
          <w:szCs w:val="21"/>
        </w:rPr>
        <w:t>that it is ending</w:t>
      </w:r>
      <w:r w:rsidRPr="00E941EF">
        <w:rPr>
          <w:rFonts w:ascii="Arial" w:hAnsi="Arial" w:cs="Arial"/>
          <w:sz w:val="21"/>
          <w:szCs w:val="21"/>
        </w:rPr>
        <w:t xml:space="preserve"> two COVID</w:t>
      </w:r>
      <w:r w:rsidR="004A2419" w:rsidRPr="00E941EF">
        <w:rPr>
          <w:rFonts w:ascii="Arial" w:hAnsi="Arial" w:cs="Arial"/>
          <w:sz w:val="21"/>
          <w:szCs w:val="21"/>
        </w:rPr>
        <w:t>-</w:t>
      </w:r>
      <w:r w:rsidRPr="00E941EF">
        <w:rPr>
          <w:rFonts w:ascii="Arial" w:hAnsi="Arial" w:cs="Arial"/>
          <w:sz w:val="21"/>
          <w:szCs w:val="21"/>
        </w:rPr>
        <w:t xml:space="preserve">related emergencies on </w:t>
      </w:r>
      <w:r w:rsidRPr="00E941EF">
        <w:rPr>
          <w:rFonts w:ascii="Arial" w:hAnsi="Arial" w:cs="Arial"/>
          <w:b/>
          <w:bCs/>
          <w:sz w:val="21"/>
          <w:szCs w:val="21"/>
        </w:rPr>
        <w:t>May 11, 2023</w:t>
      </w:r>
      <w:r w:rsidRPr="00E941EF">
        <w:rPr>
          <w:rFonts w:ascii="Arial" w:hAnsi="Arial" w:cs="Arial"/>
          <w:sz w:val="21"/>
          <w:szCs w:val="21"/>
        </w:rPr>
        <w:t xml:space="preserve">: </w:t>
      </w:r>
    </w:p>
    <w:p w14:paraId="1D6F75B2" w14:textId="77777777" w:rsidR="007810A6" w:rsidRPr="00E941EF" w:rsidRDefault="00113303" w:rsidP="00E941EF">
      <w:pPr>
        <w:ind w:firstLine="720"/>
        <w:rPr>
          <w:rFonts w:ascii="Arial" w:hAnsi="Arial" w:cs="Arial"/>
          <w:sz w:val="21"/>
          <w:szCs w:val="21"/>
        </w:rPr>
      </w:pPr>
      <w:r w:rsidRPr="00E941EF">
        <w:rPr>
          <w:rFonts w:ascii="Arial" w:hAnsi="Arial" w:cs="Arial"/>
          <w:sz w:val="21"/>
          <w:szCs w:val="21"/>
        </w:rPr>
        <w:t xml:space="preserve">1) the Public Health Emergency, and </w:t>
      </w:r>
    </w:p>
    <w:p w14:paraId="28866C41" w14:textId="77777777" w:rsidR="007810A6" w:rsidRPr="00E941EF" w:rsidRDefault="00113303" w:rsidP="00E941EF">
      <w:pPr>
        <w:ind w:firstLine="720"/>
        <w:rPr>
          <w:rFonts w:ascii="Arial" w:hAnsi="Arial" w:cs="Arial"/>
          <w:sz w:val="21"/>
          <w:szCs w:val="21"/>
        </w:rPr>
      </w:pPr>
      <w:r w:rsidRPr="00E941EF">
        <w:rPr>
          <w:rFonts w:ascii="Arial" w:hAnsi="Arial" w:cs="Arial"/>
          <w:sz w:val="21"/>
          <w:szCs w:val="21"/>
        </w:rPr>
        <w:t xml:space="preserve">2) the National Emergency.  </w:t>
      </w:r>
      <w:bookmarkEnd w:id="1"/>
    </w:p>
    <w:p w14:paraId="0AAB5FB1" w14:textId="77777777" w:rsidR="001F6846" w:rsidRPr="00E941EF" w:rsidRDefault="001F6846" w:rsidP="00E941EF">
      <w:pPr>
        <w:ind w:firstLine="720"/>
        <w:rPr>
          <w:rFonts w:ascii="Arial" w:hAnsi="Arial" w:cs="Arial"/>
          <w:sz w:val="21"/>
          <w:szCs w:val="21"/>
        </w:rPr>
      </w:pPr>
    </w:p>
    <w:p w14:paraId="17972794" w14:textId="7C8E08ED" w:rsidR="00FA66FA" w:rsidRPr="00E941EF" w:rsidRDefault="00BF19B2" w:rsidP="00171361">
      <w:pPr>
        <w:rPr>
          <w:rFonts w:ascii="Arial" w:eastAsia="Times New Roman" w:hAnsi="Arial" w:cs="Arial"/>
          <w:sz w:val="21"/>
          <w:szCs w:val="21"/>
        </w:rPr>
      </w:pPr>
      <w:r w:rsidRPr="00E941EF">
        <w:rPr>
          <w:rFonts w:ascii="Arial" w:eastAsia="Times New Roman" w:hAnsi="Arial" w:cs="Arial"/>
          <w:sz w:val="21"/>
          <w:szCs w:val="21"/>
        </w:rPr>
        <w:t xml:space="preserve">This Notice </w:t>
      </w:r>
      <w:r w:rsidR="00DD46DA" w:rsidRPr="00E941EF">
        <w:rPr>
          <w:rFonts w:ascii="Arial" w:eastAsia="Times New Roman" w:hAnsi="Arial" w:cs="Arial"/>
          <w:sz w:val="21"/>
          <w:szCs w:val="21"/>
        </w:rPr>
        <w:t xml:space="preserve">outlines </w:t>
      </w:r>
      <w:r w:rsidR="00FA66FA" w:rsidRPr="00E941EF">
        <w:rPr>
          <w:rFonts w:ascii="Arial" w:eastAsia="Times New Roman" w:hAnsi="Arial" w:cs="Arial"/>
          <w:sz w:val="21"/>
          <w:szCs w:val="21"/>
        </w:rPr>
        <w:t xml:space="preserve">how </w:t>
      </w:r>
      <w:r w:rsidR="00DD46DA" w:rsidRPr="00E941EF">
        <w:rPr>
          <w:rFonts w:ascii="Arial" w:eastAsia="Times New Roman" w:hAnsi="Arial" w:cs="Arial"/>
          <w:sz w:val="21"/>
          <w:szCs w:val="21"/>
        </w:rPr>
        <w:t xml:space="preserve">the </w:t>
      </w:r>
      <w:r w:rsidRPr="00E941EF">
        <w:rPr>
          <w:rFonts w:ascii="Arial" w:eastAsia="Times New Roman" w:hAnsi="Arial" w:cs="Arial"/>
          <w:sz w:val="21"/>
          <w:szCs w:val="21"/>
        </w:rPr>
        <w:t xml:space="preserve">expiration of these Emergencies </w:t>
      </w:r>
      <w:r w:rsidR="00FA66FA" w:rsidRPr="00E941EF">
        <w:rPr>
          <w:rFonts w:ascii="Arial" w:eastAsia="Times New Roman" w:hAnsi="Arial" w:cs="Arial"/>
          <w:sz w:val="21"/>
          <w:szCs w:val="21"/>
        </w:rPr>
        <w:t xml:space="preserve">may impact you and your family. </w:t>
      </w:r>
    </w:p>
    <w:p w14:paraId="24D53C21" w14:textId="165D6277" w:rsidR="00BF19B2" w:rsidRPr="00E941EF" w:rsidRDefault="00BF19B2" w:rsidP="00171361">
      <w:pPr>
        <w:rPr>
          <w:rFonts w:ascii="Arial" w:eastAsia="Times New Roman" w:hAnsi="Arial" w:cs="Arial"/>
          <w:sz w:val="21"/>
          <w:szCs w:val="21"/>
        </w:rPr>
      </w:pPr>
      <w:r w:rsidRPr="00E941EF">
        <w:rPr>
          <w:rFonts w:ascii="Arial" w:eastAsia="Times New Roman" w:hAnsi="Arial" w:cs="Arial"/>
          <w:sz w:val="21"/>
          <w:szCs w:val="21"/>
        </w:rPr>
        <w:t xml:space="preserve"> </w:t>
      </w:r>
    </w:p>
    <w:p w14:paraId="7FD64717" w14:textId="6B46B621" w:rsidR="009D6C1B" w:rsidRPr="00E941EF" w:rsidRDefault="003477CA" w:rsidP="00E941EF">
      <w:pPr>
        <w:rPr>
          <w:rFonts w:ascii="Arial" w:hAnsi="Arial" w:cs="Arial"/>
          <w:sz w:val="21"/>
          <w:szCs w:val="21"/>
        </w:rPr>
      </w:pPr>
      <w:r w:rsidRPr="00E941EF">
        <w:rPr>
          <w:rFonts w:ascii="Arial" w:hAnsi="Arial" w:cs="Arial"/>
          <w:b/>
          <w:bCs/>
          <w:sz w:val="21"/>
          <w:szCs w:val="21"/>
        </w:rPr>
        <w:t>PUBLIC HEALTH EMERGENCY</w:t>
      </w:r>
      <w:r w:rsidR="00113303" w:rsidRPr="00E941EF">
        <w:rPr>
          <w:rFonts w:ascii="Arial" w:hAnsi="Arial" w:cs="Arial"/>
          <w:sz w:val="21"/>
          <w:szCs w:val="21"/>
        </w:rPr>
        <w:t xml:space="preserve"> </w:t>
      </w:r>
    </w:p>
    <w:p w14:paraId="4A000BFB" w14:textId="37968B1C" w:rsidR="00AF18EB" w:rsidRPr="00E941EF" w:rsidRDefault="00AF18EB" w:rsidP="00171361">
      <w:pPr>
        <w:rPr>
          <w:rFonts w:ascii="Arial" w:hAnsi="Arial" w:cs="Arial"/>
          <w:b/>
          <w:bCs/>
          <w:sz w:val="21"/>
          <w:szCs w:val="21"/>
        </w:rPr>
      </w:pPr>
      <w:r w:rsidRPr="00E941EF">
        <w:rPr>
          <w:rFonts w:ascii="Arial" w:hAnsi="Arial" w:cs="Arial"/>
          <w:b/>
          <w:bCs/>
          <w:sz w:val="21"/>
          <w:szCs w:val="21"/>
        </w:rPr>
        <w:t>Overview</w:t>
      </w:r>
    </w:p>
    <w:p w14:paraId="3DCA1F2F" w14:textId="1D39B5CC" w:rsidR="004A2419" w:rsidRPr="00E941EF" w:rsidRDefault="004A2419" w:rsidP="00E941EF">
      <w:pPr>
        <w:rPr>
          <w:rFonts w:ascii="Arial" w:hAnsi="Arial" w:cs="Arial"/>
          <w:sz w:val="21"/>
          <w:szCs w:val="21"/>
        </w:rPr>
      </w:pPr>
      <w:r w:rsidRPr="00E941EF">
        <w:rPr>
          <w:rFonts w:ascii="Arial" w:hAnsi="Arial" w:cs="Arial"/>
          <w:sz w:val="21"/>
          <w:szCs w:val="21"/>
        </w:rPr>
        <w:t>The Public Health Emergency was declared in early 2020</w:t>
      </w:r>
      <w:r w:rsidR="00B451D4" w:rsidRPr="00E941EF">
        <w:rPr>
          <w:rFonts w:ascii="Arial" w:hAnsi="Arial" w:cs="Arial"/>
          <w:sz w:val="21"/>
          <w:szCs w:val="21"/>
        </w:rPr>
        <w:t>, and required group health plans to comply with the following mandates:</w:t>
      </w:r>
    </w:p>
    <w:p w14:paraId="103CB885" w14:textId="4F60D929" w:rsidR="00B451D4" w:rsidRPr="00E941EF" w:rsidRDefault="00B451D4" w:rsidP="00E941EF">
      <w:pPr>
        <w:pStyle w:val="ListParagraph"/>
        <w:numPr>
          <w:ilvl w:val="0"/>
          <w:numId w:val="1"/>
        </w:numPr>
        <w:rPr>
          <w:rFonts w:ascii="Arial" w:hAnsi="Arial" w:cs="Arial"/>
          <w:sz w:val="21"/>
          <w:szCs w:val="21"/>
        </w:rPr>
      </w:pPr>
      <w:r w:rsidRPr="00E941EF">
        <w:rPr>
          <w:rFonts w:ascii="Arial" w:hAnsi="Arial" w:cs="Arial"/>
          <w:sz w:val="21"/>
          <w:szCs w:val="21"/>
        </w:rPr>
        <w:t>Cover COVID</w:t>
      </w:r>
      <w:r w:rsidR="00D06C16" w:rsidRPr="00E941EF">
        <w:rPr>
          <w:rFonts w:ascii="Arial" w:hAnsi="Arial" w:cs="Arial"/>
          <w:sz w:val="21"/>
          <w:szCs w:val="21"/>
        </w:rPr>
        <w:t>-19</w:t>
      </w:r>
      <w:r w:rsidRPr="00E941EF">
        <w:rPr>
          <w:rFonts w:ascii="Arial" w:hAnsi="Arial" w:cs="Arial"/>
          <w:sz w:val="21"/>
          <w:szCs w:val="21"/>
        </w:rPr>
        <w:t xml:space="preserve"> diagnostic testing and </w:t>
      </w:r>
      <w:r w:rsidR="001F21AB" w:rsidRPr="00E941EF">
        <w:rPr>
          <w:rFonts w:ascii="Arial" w:hAnsi="Arial" w:cs="Arial"/>
          <w:sz w:val="21"/>
          <w:szCs w:val="21"/>
        </w:rPr>
        <w:t>ancillary</w:t>
      </w:r>
      <w:r w:rsidRPr="00E941EF">
        <w:rPr>
          <w:rFonts w:ascii="Arial" w:hAnsi="Arial" w:cs="Arial"/>
          <w:sz w:val="21"/>
          <w:szCs w:val="21"/>
        </w:rPr>
        <w:t xml:space="preserve"> services</w:t>
      </w:r>
      <w:r w:rsidR="004C591A">
        <w:rPr>
          <w:rFonts w:ascii="Arial" w:hAnsi="Arial" w:cs="Arial"/>
          <w:sz w:val="21"/>
          <w:szCs w:val="21"/>
        </w:rPr>
        <w:t xml:space="preserve"> administered by a health professional</w:t>
      </w:r>
      <w:r w:rsidRPr="00E941EF">
        <w:rPr>
          <w:rFonts w:ascii="Arial" w:hAnsi="Arial" w:cs="Arial"/>
          <w:sz w:val="21"/>
          <w:szCs w:val="21"/>
        </w:rPr>
        <w:t xml:space="preserve"> without cost sharing or pre-authorization.  </w:t>
      </w:r>
    </w:p>
    <w:p w14:paraId="628E588B" w14:textId="5177CBA2" w:rsidR="00B451D4" w:rsidRPr="00E941EF" w:rsidRDefault="00B451D4" w:rsidP="00E941EF">
      <w:pPr>
        <w:pStyle w:val="ListParagraph"/>
        <w:numPr>
          <w:ilvl w:val="0"/>
          <w:numId w:val="1"/>
        </w:numPr>
        <w:rPr>
          <w:rFonts w:ascii="Arial" w:hAnsi="Arial" w:cs="Arial"/>
          <w:sz w:val="21"/>
          <w:szCs w:val="21"/>
        </w:rPr>
      </w:pPr>
      <w:r w:rsidRPr="00E941EF">
        <w:rPr>
          <w:rFonts w:ascii="Arial" w:hAnsi="Arial" w:cs="Arial"/>
          <w:sz w:val="21"/>
          <w:szCs w:val="21"/>
        </w:rPr>
        <w:t xml:space="preserve">Cover up to </w:t>
      </w:r>
      <w:r w:rsidR="007810A6" w:rsidRPr="00E941EF">
        <w:rPr>
          <w:rFonts w:ascii="Arial" w:hAnsi="Arial" w:cs="Arial"/>
          <w:sz w:val="21"/>
          <w:szCs w:val="21"/>
        </w:rPr>
        <w:t>eight</w:t>
      </w:r>
      <w:r w:rsidR="004C591A">
        <w:rPr>
          <w:rFonts w:ascii="Arial" w:hAnsi="Arial" w:cs="Arial"/>
          <w:sz w:val="21"/>
          <w:szCs w:val="21"/>
        </w:rPr>
        <w:t xml:space="preserve"> (8)</w:t>
      </w:r>
      <w:r w:rsidR="007810A6" w:rsidRPr="00E941EF">
        <w:rPr>
          <w:rFonts w:ascii="Arial" w:hAnsi="Arial" w:cs="Arial"/>
          <w:sz w:val="21"/>
          <w:szCs w:val="21"/>
        </w:rPr>
        <w:t xml:space="preserve"> </w:t>
      </w:r>
      <w:proofErr w:type="gramStart"/>
      <w:r w:rsidRPr="00E941EF">
        <w:rPr>
          <w:rFonts w:ascii="Arial" w:hAnsi="Arial" w:cs="Arial"/>
          <w:sz w:val="21"/>
          <w:szCs w:val="21"/>
        </w:rPr>
        <w:t>over-the-counter</w:t>
      </w:r>
      <w:proofErr w:type="gramEnd"/>
      <w:r w:rsidRPr="00E941EF">
        <w:rPr>
          <w:rFonts w:ascii="Arial" w:hAnsi="Arial" w:cs="Arial"/>
          <w:sz w:val="21"/>
          <w:szCs w:val="21"/>
        </w:rPr>
        <w:t xml:space="preserve"> </w:t>
      </w:r>
      <w:r w:rsidR="004C591A">
        <w:rPr>
          <w:rFonts w:ascii="Arial" w:hAnsi="Arial" w:cs="Arial"/>
          <w:sz w:val="21"/>
          <w:szCs w:val="21"/>
        </w:rPr>
        <w:t>(“OTC”) at-</w:t>
      </w:r>
      <w:r w:rsidRPr="00E941EF">
        <w:rPr>
          <w:rFonts w:ascii="Arial" w:hAnsi="Arial" w:cs="Arial"/>
          <w:sz w:val="21"/>
          <w:szCs w:val="21"/>
        </w:rPr>
        <w:t>home tests per month without a doctor’s order or prescription</w:t>
      </w:r>
      <w:r w:rsidR="00BF782B">
        <w:rPr>
          <w:rFonts w:ascii="Arial" w:hAnsi="Arial" w:cs="Arial"/>
          <w:sz w:val="21"/>
          <w:szCs w:val="21"/>
        </w:rPr>
        <w:t xml:space="preserve">, at no-cost to </w:t>
      </w:r>
      <w:r w:rsidR="00067E18">
        <w:rPr>
          <w:rFonts w:ascii="Arial" w:hAnsi="Arial" w:cs="Arial"/>
          <w:sz w:val="21"/>
          <w:szCs w:val="21"/>
        </w:rPr>
        <w:t xml:space="preserve">enrolled plan members. </w:t>
      </w:r>
    </w:p>
    <w:p w14:paraId="42D023C1" w14:textId="062A20ED" w:rsidR="002B2DE0" w:rsidRPr="00E941EF" w:rsidRDefault="00B451D4" w:rsidP="00E941EF">
      <w:pPr>
        <w:pStyle w:val="ListParagraph"/>
        <w:numPr>
          <w:ilvl w:val="0"/>
          <w:numId w:val="1"/>
        </w:numPr>
        <w:rPr>
          <w:rFonts w:ascii="Arial" w:hAnsi="Arial" w:cs="Arial"/>
          <w:sz w:val="21"/>
          <w:szCs w:val="21"/>
        </w:rPr>
      </w:pPr>
      <w:r w:rsidRPr="00E941EF">
        <w:rPr>
          <w:rFonts w:ascii="Arial" w:hAnsi="Arial" w:cs="Arial"/>
          <w:sz w:val="21"/>
          <w:szCs w:val="21"/>
        </w:rPr>
        <w:t>Cover COVID</w:t>
      </w:r>
      <w:r w:rsidR="00D06C16" w:rsidRPr="00E941EF">
        <w:rPr>
          <w:rFonts w:ascii="Arial" w:hAnsi="Arial" w:cs="Arial"/>
          <w:sz w:val="21"/>
          <w:szCs w:val="21"/>
        </w:rPr>
        <w:t>-19</w:t>
      </w:r>
      <w:r w:rsidRPr="00E941EF">
        <w:rPr>
          <w:rFonts w:ascii="Arial" w:hAnsi="Arial" w:cs="Arial"/>
          <w:sz w:val="21"/>
          <w:szCs w:val="21"/>
        </w:rPr>
        <w:t xml:space="preserve"> vaccines</w:t>
      </w:r>
      <w:r w:rsidR="00D91EDB">
        <w:rPr>
          <w:rFonts w:ascii="Arial" w:hAnsi="Arial" w:cs="Arial"/>
          <w:sz w:val="21"/>
          <w:szCs w:val="21"/>
        </w:rPr>
        <w:t xml:space="preserve"> and </w:t>
      </w:r>
      <w:r w:rsidRPr="00E941EF">
        <w:rPr>
          <w:rFonts w:ascii="Arial" w:hAnsi="Arial" w:cs="Arial"/>
          <w:sz w:val="21"/>
          <w:szCs w:val="21"/>
        </w:rPr>
        <w:t xml:space="preserve">boosters without cost sharing </w:t>
      </w:r>
      <w:r w:rsidR="00D91EDB">
        <w:rPr>
          <w:rFonts w:ascii="Arial" w:hAnsi="Arial" w:cs="Arial"/>
          <w:sz w:val="21"/>
          <w:szCs w:val="21"/>
        </w:rPr>
        <w:t>or</w:t>
      </w:r>
      <w:r w:rsidRPr="00E941EF">
        <w:rPr>
          <w:rFonts w:ascii="Arial" w:hAnsi="Arial" w:cs="Arial"/>
          <w:sz w:val="21"/>
          <w:szCs w:val="21"/>
        </w:rPr>
        <w:t xml:space="preserve"> pre-authorization for both in-network and out-of-network providers.</w:t>
      </w:r>
    </w:p>
    <w:p w14:paraId="5FD625F9" w14:textId="77777777" w:rsidR="005A1358" w:rsidRPr="008663F3" w:rsidRDefault="002B2DE0" w:rsidP="005A1358">
      <w:pPr>
        <w:rPr>
          <w:rFonts w:ascii="Arial" w:hAnsi="Arial" w:cs="Arial"/>
          <w:b/>
          <w:bCs/>
          <w:sz w:val="21"/>
          <w:szCs w:val="21"/>
        </w:rPr>
      </w:pPr>
      <w:r w:rsidRPr="008663F3">
        <w:rPr>
          <w:rFonts w:ascii="Arial" w:hAnsi="Arial" w:cs="Arial"/>
          <w:b/>
          <w:bCs/>
          <w:sz w:val="21"/>
          <w:szCs w:val="21"/>
        </w:rPr>
        <w:t>What will change when the Public Health Emergency declaration expires</w:t>
      </w:r>
      <w:r w:rsidR="00171361" w:rsidRPr="008663F3">
        <w:rPr>
          <w:rFonts w:ascii="Arial" w:hAnsi="Arial" w:cs="Arial"/>
          <w:b/>
          <w:bCs/>
          <w:sz w:val="21"/>
          <w:szCs w:val="21"/>
        </w:rPr>
        <w:t xml:space="preserve"> on May 11, 2023:</w:t>
      </w:r>
    </w:p>
    <w:p w14:paraId="2DCBA6B4" w14:textId="4399C121" w:rsidR="005A1358" w:rsidRPr="00E941EF" w:rsidRDefault="005A1358" w:rsidP="00E941EF">
      <w:pPr>
        <w:pStyle w:val="ListParagraph"/>
        <w:numPr>
          <w:ilvl w:val="0"/>
          <w:numId w:val="17"/>
        </w:numPr>
        <w:rPr>
          <w:rFonts w:ascii="Arial" w:hAnsi="Arial" w:cs="Arial"/>
          <w:b/>
          <w:bCs/>
          <w:color w:val="0070C0"/>
          <w:sz w:val="21"/>
          <w:szCs w:val="21"/>
        </w:rPr>
      </w:pPr>
      <w:r w:rsidRPr="00E941EF">
        <w:rPr>
          <w:rFonts w:ascii="Arial" w:hAnsi="Arial" w:cs="Arial"/>
          <w:b/>
          <w:bCs/>
          <w:color w:val="0070C0"/>
          <w:sz w:val="21"/>
          <w:szCs w:val="21"/>
        </w:rPr>
        <w:t>Diagnostic testing ordered or administered by a health professional</w:t>
      </w:r>
    </w:p>
    <w:p w14:paraId="259F7F08" w14:textId="58E4727A" w:rsidR="00EE7BF3" w:rsidRPr="00E941EF" w:rsidRDefault="00B451D4" w:rsidP="00E941EF">
      <w:pPr>
        <w:pStyle w:val="ListParagraph"/>
        <w:rPr>
          <w:rFonts w:ascii="Arial" w:hAnsi="Arial" w:cs="Arial"/>
          <w:b/>
          <w:bCs/>
          <w:color w:val="0070C0"/>
          <w:sz w:val="21"/>
          <w:szCs w:val="21"/>
        </w:rPr>
      </w:pPr>
      <w:r w:rsidRPr="00E941EF">
        <w:rPr>
          <w:rFonts w:ascii="Arial" w:hAnsi="Arial" w:cs="Arial"/>
          <w:sz w:val="21"/>
          <w:szCs w:val="21"/>
        </w:rPr>
        <w:t>Upon expiration of the Public Health Emergency</w:t>
      </w:r>
      <w:r w:rsidR="00BA511B" w:rsidRPr="00E941EF">
        <w:rPr>
          <w:rFonts w:ascii="Arial" w:hAnsi="Arial" w:cs="Arial"/>
          <w:sz w:val="21"/>
          <w:szCs w:val="21"/>
        </w:rPr>
        <w:t xml:space="preserve"> on May 11, 2023</w:t>
      </w:r>
      <w:r w:rsidRPr="00E941EF">
        <w:rPr>
          <w:rFonts w:ascii="Arial" w:hAnsi="Arial" w:cs="Arial"/>
          <w:sz w:val="21"/>
          <w:szCs w:val="21"/>
        </w:rPr>
        <w:t xml:space="preserve">, </w:t>
      </w:r>
      <w:r w:rsidR="00222138" w:rsidRPr="00E941EF">
        <w:rPr>
          <w:rFonts w:ascii="Arial" w:hAnsi="Arial" w:cs="Arial"/>
          <w:sz w:val="21"/>
          <w:szCs w:val="21"/>
        </w:rPr>
        <w:t>coverage of COVID</w:t>
      </w:r>
      <w:r w:rsidR="00D06C16" w:rsidRPr="00E941EF">
        <w:rPr>
          <w:rFonts w:ascii="Arial" w:hAnsi="Arial" w:cs="Arial"/>
          <w:sz w:val="21"/>
          <w:szCs w:val="21"/>
        </w:rPr>
        <w:t>-19</w:t>
      </w:r>
      <w:r w:rsidR="00222138" w:rsidRPr="00E941EF">
        <w:rPr>
          <w:rFonts w:ascii="Arial" w:hAnsi="Arial" w:cs="Arial"/>
          <w:sz w:val="21"/>
          <w:szCs w:val="21"/>
        </w:rPr>
        <w:t xml:space="preserve"> diagnostic testing </w:t>
      </w:r>
      <w:r w:rsidR="00CE757D" w:rsidRPr="00E941EF">
        <w:rPr>
          <w:rFonts w:ascii="Arial" w:hAnsi="Arial" w:cs="Arial"/>
          <w:sz w:val="21"/>
          <w:szCs w:val="21"/>
        </w:rPr>
        <w:t xml:space="preserve">and related services </w:t>
      </w:r>
      <w:r w:rsidR="00222138" w:rsidRPr="00E941EF">
        <w:rPr>
          <w:rFonts w:ascii="Arial" w:hAnsi="Arial" w:cs="Arial"/>
          <w:sz w:val="21"/>
          <w:szCs w:val="21"/>
        </w:rPr>
        <w:t xml:space="preserve">will revert to how </w:t>
      </w:r>
      <w:r w:rsidR="00BA511B" w:rsidRPr="00E941EF">
        <w:rPr>
          <w:rFonts w:ascii="Arial" w:hAnsi="Arial" w:cs="Arial"/>
          <w:sz w:val="21"/>
          <w:szCs w:val="21"/>
        </w:rPr>
        <w:t>your</w:t>
      </w:r>
      <w:r w:rsidR="00222138" w:rsidRPr="00E941EF">
        <w:rPr>
          <w:rFonts w:ascii="Arial" w:hAnsi="Arial" w:cs="Arial"/>
          <w:sz w:val="21"/>
          <w:szCs w:val="21"/>
        </w:rPr>
        <w:t xml:space="preserve"> health plan would otherwise cover </w:t>
      </w:r>
      <w:r w:rsidR="007E661B" w:rsidRPr="00E941EF">
        <w:rPr>
          <w:rFonts w:ascii="Arial" w:hAnsi="Arial" w:cs="Arial"/>
          <w:sz w:val="21"/>
          <w:szCs w:val="21"/>
        </w:rPr>
        <w:t xml:space="preserve">diagnostic testing and related services </w:t>
      </w:r>
      <w:r w:rsidR="00BA511B" w:rsidRPr="00E941EF">
        <w:rPr>
          <w:rFonts w:ascii="Arial" w:hAnsi="Arial" w:cs="Arial"/>
          <w:sz w:val="21"/>
          <w:szCs w:val="21"/>
        </w:rPr>
        <w:t>in the absence of the mandate</w:t>
      </w:r>
      <w:r w:rsidR="00222138" w:rsidRPr="00E941EF">
        <w:rPr>
          <w:rFonts w:ascii="Arial" w:hAnsi="Arial" w:cs="Arial"/>
          <w:sz w:val="21"/>
          <w:szCs w:val="21"/>
        </w:rPr>
        <w:t>.</w:t>
      </w:r>
      <w:r w:rsidR="00923232" w:rsidRPr="00E941EF">
        <w:rPr>
          <w:rFonts w:ascii="Arial" w:hAnsi="Arial" w:cs="Arial"/>
          <w:sz w:val="21"/>
          <w:szCs w:val="21"/>
        </w:rPr>
        <w:t xml:space="preserve"> </w:t>
      </w:r>
      <w:r w:rsidR="00256483" w:rsidRPr="00E941EF">
        <w:rPr>
          <w:rFonts w:ascii="Arial" w:hAnsi="Arial" w:cs="Arial"/>
          <w:sz w:val="21"/>
          <w:szCs w:val="21"/>
        </w:rPr>
        <w:t>This means that</w:t>
      </w:r>
      <w:r w:rsidR="00F42D7D" w:rsidRPr="00E941EF">
        <w:rPr>
          <w:rFonts w:ascii="Arial" w:hAnsi="Arial" w:cs="Arial"/>
          <w:sz w:val="21"/>
          <w:szCs w:val="21"/>
        </w:rPr>
        <w:t xml:space="preserve"> you may have to cover the cost of these tests based on your specific plan’s coverage. </w:t>
      </w:r>
    </w:p>
    <w:p w14:paraId="285C79BC" w14:textId="77777777" w:rsidR="005C7579" w:rsidRPr="00E941EF" w:rsidRDefault="005C7579" w:rsidP="00E941EF">
      <w:pPr>
        <w:pStyle w:val="ListParagraph"/>
        <w:rPr>
          <w:sz w:val="21"/>
          <w:szCs w:val="21"/>
        </w:rPr>
      </w:pPr>
    </w:p>
    <w:p w14:paraId="2BDD59F5" w14:textId="77777777" w:rsidR="000602BD" w:rsidRPr="008663F3" w:rsidRDefault="000602BD" w:rsidP="00E941EF">
      <w:pPr>
        <w:pStyle w:val="ListParagraph"/>
        <w:numPr>
          <w:ilvl w:val="0"/>
          <w:numId w:val="17"/>
        </w:numPr>
        <w:rPr>
          <w:rFonts w:ascii="Arial" w:hAnsi="Arial" w:cs="Arial"/>
          <w:b/>
          <w:bCs/>
          <w:color w:val="0070C0"/>
          <w:sz w:val="21"/>
          <w:szCs w:val="21"/>
        </w:rPr>
      </w:pPr>
      <w:r w:rsidRPr="008663F3">
        <w:rPr>
          <w:rFonts w:ascii="Arial" w:hAnsi="Arial" w:cs="Arial"/>
          <w:b/>
          <w:bCs/>
          <w:color w:val="0070C0"/>
          <w:sz w:val="21"/>
          <w:szCs w:val="21"/>
        </w:rPr>
        <w:t>At-home COVID tests</w:t>
      </w:r>
    </w:p>
    <w:p w14:paraId="65CFBD09" w14:textId="34E0C0F7" w:rsidR="005C2C8B" w:rsidRPr="005C2C8B" w:rsidRDefault="005C2C8B" w:rsidP="005C2C8B">
      <w:pPr>
        <w:pStyle w:val="ListParagraph"/>
        <w:rPr>
          <w:rFonts w:ascii="Arial" w:hAnsi="Arial" w:cs="Arial"/>
          <w:sz w:val="21"/>
          <w:szCs w:val="21"/>
        </w:rPr>
      </w:pPr>
      <w:r w:rsidRPr="005C2C8B">
        <w:rPr>
          <w:rFonts w:ascii="Arial" w:hAnsi="Arial" w:cs="Arial"/>
          <w:color w:val="FF0000"/>
          <w:sz w:val="21"/>
          <w:szCs w:val="21"/>
        </w:rPr>
        <w:t xml:space="preserve">After May 11, 2023, Pharmacy Benefit Managers (PBMs) are no longer required to provide access to at-home (or </w:t>
      </w:r>
      <w:proofErr w:type="gramStart"/>
      <w:r w:rsidRPr="005C2C8B">
        <w:rPr>
          <w:rFonts w:ascii="Arial" w:hAnsi="Arial" w:cs="Arial"/>
          <w:color w:val="FF0000"/>
          <w:sz w:val="21"/>
          <w:szCs w:val="21"/>
        </w:rPr>
        <w:t>over-the-counter</w:t>
      </w:r>
      <w:proofErr w:type="gramEnd"/>
      <w:r w:rsidRPr="005C2C8B">
        <w:rPr>
          <w:rFonts w:ascii="Arial" w:hAnsi="Arial" w:cs="Arial"/>
          <w:color w:val="FF0000"/>
          <w:sz w:val="21"/>
          <w:szCs w:val="21"/>
        </w:rPr>
        <w:t xml:space="preserve">) tests without cost-sharing. </w:t>
      </w:r>
      <w:r w:rsidR="004A17F3">
        <w:rPr>
          <w:rFonts w:ascii="Arial" w:hAnsi="Arial" w:cs="Arial"/>
          <w:color w:val="FF0000"/>
          <w:sz w:val="21"/>
          <w:szCs w:val="21"/>
        </w:rPr>
        <w:t xml:space="preserve">Note, you can </w:t>
      </w:r>
      <w:r w:rsidRPr="005C2C8B">
        <w:rPr>
          <w:rFonts w:ascii="Arial" w:hAnsi="Arial" w:cs="Arial"/>
          <w:color w:val="FF0000"/>
          <w:sz w:val="21"/>
          <w:szCs w:val="21"/>
        </w:rPr>
        <w:t xml:space="preserve">still obtain tests for purchase from </w:t>
      </w:r>
      <w:r w:rsidR="004A17F3">
        <w:rPr>
          <w:rFonts w:ascii="Arial" w:hAnsi="Arial" w:cs="Arial"/>
          <w:color w:val="FF0000"/>
          <w:sz w:val="21"/>
          <w:szCs w:val="21"/>
        </w:rPr>
        <w:t>your</w:t>
      </w:r>
      <w:r w:rsidRPr="005C2C8B">
        <w:rPr>
          <w:rFonts w:ascii="Arial" w:hAnsi="Arial" w:cs="Arial"/>
          <w:color w:val="FF0000"/>
          <w:sz w:val="21"/>
          <w:szCs w:val="21"/>
        </w:rPr>
        <w:t xml:space="preserve"> pharmacy retailer; however, it will be determined </w:t>
      </w:r>
      <w:r w:rsidR="00D365C5">
        <w:rPr>
          <w:rFonts w:ascii="Arial" w:hAnsi="Arial" w:cs="Arial"/>
          <w:color w:val="FF0000"/>
          <w:sz w:val="21"/>
          <w:szCs w:val="21"/>
        </w:rPr>
        <w:t xml:space="preserve">by </w:t>
      </w:r>
      <w:r w:rsidR="006623B6">
        <w:rPr>
          <w:rFonts w:ascii="Arial" w:hAnsi="Arial" w:cs="Arial"/>
          <w:color w:val="FF0000"/>
          <w:sz w:val="21"/>
          <w:szCs w:val="21"/>
        </w:rPr>
        <w:t>your</w:t>
      </w:r>
      <w:r w:rsidRPr="005C2C8B">
        <w:rPr>
          <w:rFonts w:ascii="Arial" w:hAnsi="Arial" w:cs="Arial"/>
          <w:color w:val="FF0000"/>
          <w:sz w:val="21"/>
          <w:szCs w:val="21"/>
        </w:rPr>
        <w:t xml:space="preserve"> PBM’s policy on cost-sharing.  </w:t>
      </w:r>
    </w:p>
    <w:p w14:paraId="592AE25B" w14:textId="77777777" w:rsidR="005C2C8B" w:rsidRPr="00E941EF" w:rsidRDefault="005C2C8B" w:rsidP="00E941EF">
      <w:pPr>
        <w:pStyle w:val="ListParagraph"/>
        <w:rPr>
          <w:rFonts w:ascii="Arial" w:hAnsi="Arial" w:cs="Arial"/>
          <w:sz w:val="21"/>
          <w:szCs w:val="21"/>
        </w:rPr>
      </w:pPr>
    </w:p>
    <w:p w14:paraId="5A4713D1" w14:textId="77777777" w:rsidR="005C7579" w:rsidRPr="00E941EF" w:rsidRDefault="005C7579" w:rsidP="00E941EF">
      <w:pPr>
        <w:pStyle w:val="ListParagraph"/>
        <w:rPr>
          <w:rFonts w:ascii="Arial" w:hAnsi="Arial" w:cs="Arial"/>
          <w:sz w:val="21"/>
          <w:szCs w:val="21"/>
        </w:rPr>
      </w:pPr>
    </w:p>
    <w:p w14:paraId="40F2409B" w14:textId="77777777" w:rsidR="00F43AD4" w:rsidRDefault="00F43AD4" w:rsidP="00F43AD4">
      <w:pPr>
        <w:pStyle w:val="ListParagraph"/>
        <w:numPr>
          <w:ilvl w:val="0"/>
          <w:numId w:val="17"/>
        </w:numPr>
        <w:rPr>
          <w:rFonts w:ascii="Arial" w:hAnsi="Arial" w:cs="Arial"/>
          <w:b/>
          <w:bCs/>
          <w:color w:val="0070C0"/>
          <w:sz w:val="21"/>
          <w:szCs w:val="21"/>
        </w:rPr>
      </w:pPr>
      <w:r w:rsidRPr="00C16A8D">
        <w:rPr>
          <w:rFonts w:ascii="Arial" w:hAnsi="Arial" w:cs="Arial"/>
          <w:b/>
          <w:bCs/>
          <w:color w:val="0070C0"/>
          <w:sz w:val="21"/>
          <w:szCs w:val="21"/>
        </w:rPr>
        <w:t>COVID-19 vaccines</w:t>
      </w:r>
    </w:p>
    <w:p w14:paraId="69C2BE45" w14:textId="370161F1" w:rsidR="00B451D4" w:rsidRDefault="00EE7A78" w:rsidP="00F43AD4">
      <w:pPr>
        <w:pStyle w:val="ListParagraph"/>
        <w:rPr>
          <w:rFonts w:ascii="Arial" w:hAnsi="Arial" w:cs="Arial"/>
          <w:sz w:val="21"/>
          <w:szCs w:val="21"/>
        </w:rPr>
      </w:pPr>
      <w:r w:rsidRPr="00E941EF">
        <w:rPr>
          <w:rFonts w:ascii="Arial" w:hAnsi="Arial" w:cs="Arial"/>
          <w:sz w:val="21"/>
          <w:szCs w:val="21"/>
        </w:rPr>
        <w:t xml:space="preserve">Upon expiration of the Public Health Emergency, </w:t>
      </w:r>
      <w:r w:rsidR="009B7392" w:rsidRPr="00E941EF">
        <w:rPr>
          <w:rFonts w:ascii="Arial" w:hAnsi="Arial" w:cs="Arial"/>
          <w:sz w:val="21"/>
          <w:szCs w:val="21"/>
        </w:rPr>
        <w:t>your group health plan</w:t>
      </w:r>
      <w:r w:rsidR="00B451D4" w:rsidRPr="00E941EF">
        <w:rPr>
          <w:rFonts w:ascii="Arial" w:hAnsi="Arial" w:cs="Arial"/>
          <w:sz w:val="21"/>
          <w:szCs w:val="21"/>
        </w:rPr>
        <w:t xml:space="preserve"> must continue to cover COVID</w:t>
      </w:r>
      <w:r w:rsidR="00DF61DA" w:rsidRPr="00E941EF">
        <w:rPr>
          <w:rFonts w:ascii="Arial" w:hAnsi="Arial" w:cs="Arial"/>
          <w:sz w:val="21"/>
          <w:szCs w:val="21"/>
        </w:rPr>
        <w:t>-19</w:t>
      </w:r>
      <w:r w:rsidR="00B451D4" w:rsidRPr="00E941EF">
        <w:rPr>
          <w:rFonts w:ascii="Arial" w:hAnsi="Arial" w:cs="Arial"/>
          <w:sz w:val="21"/>
          <w:szCs w:val="21"/>
        </w:rPr>
        <w:t xml:space="preserve"> vaccines at no cost</w:t>
      </w:r>
      <w:r w:rsidR="00F43AD4">
        <w:rPr>
          <w:rFonts w:ascii="Arial" w:hAnsi="Arial" w:cs="Arial"/>
          <w:sz w:val="21"/>
          <w:szCs w:val="21"/>
        </w:rPr>
        <w:t xml:space="preserve"> </w:t>
      </w:r>
      <w:r w:rsidR="00096B28" w:rsidRPr="00096B28">
        <w:rPr>
          <w:rFonts w:ascii="Arial" w:hAnsi="Arial" w:cs="Arial"/>
          <w:sz w:val="21"/>
          <w:szCs w:val="21"/>
        </w:rPr>
        <w:t xml:space="preserve">– but only when obtained from an </w:t>
      </w:r>
      <w:r w:rsidR="00B451D4" w:rsidRPr="00E941EF">
        <w:rPr>
          <w:rFonts w:ascii="Arial" w:hAnsi="Arial" w:cs="Arial"/>
          <w:sz w:val="21"/>
          <w:szCs w:val="21"/>
        </w:rPr>
        <w:t xml:space="preserve">in-network provider.  </w:t>
      </w:r>
      <w:r w:rsidR="005002A8" w:rsidRPr="00E941EF">
        <w:rPr>
          <w:rFonts w:ascii="Arial" w:hAnsi="Arial" w:cs="Arial"/>
          <w:sz w:val="21"/>
          <w:szCs w:val="21"/>
        </w:rPr>
        <w:t xml:space="preserve">Coverage of these vaccines by out-of-network providers will revert to how </w:t>
      </w:r>
      <w:r w:rsidR="009B7392" w:rsidRPr="00E941EF">
        <w:rPr>
          <w:rFonts w:ascii="Arial" w:hAnsi="Arial" w:cs="Arial"/>
          <w:sz w:val="21"/>
          <w:szCs w:val="21"/>
        </w:rPr>
        <w:t>your group health</w:t>
      </w:r>
      <w:r w:rsidR="005002A8" w:rsidRPr="00E941EF">
        <w:rPr>
          <w:rFonts w:ascii="Arial" w:hAnsi="Arial" w:cs="Arial"/>
          <w:sz w:val="21"/>
          <w:szCs w:val="21"/>
        </w:rPr>
        <w:t xml:space="preserve"> plan would cover any other vaccine by an out-of-network provider.</w:t>
      </w:r>
    </w:p>
    <w:p w14:paraId="7DA55FD2" w14:textId="77777777" w:rsidR="004B35A6" w:rsidRPr="00E941EF" w:rsidRDefault="004B35A6" w:rsidP="00E941EF">
      <w:pPr>
        <w:pStyle w:val="ListParagraph"/>
        <w:rPr>
          <w:rFonts w:ascii="Arial" w:hAnsi="Arial" w:cs="Arial"/>
          <w:sz w:val="21"/>
          <w:szCs w:val="21"/>
        </w:rPr>
      </w:pPr>
    </w:p>
    <w:p w14:paraId="70EF0202" w14:textId="2A0B4A22" w:rsidR="00845454" w:rsidRPr="00E941EF" w:rsidRDefault="00845454" w:rsidP="00E941EF">
      <w:pPr>
        <w:rPr>
          <w:rFonts w:ascii="Arial" w:hAnsi="Arial" w:cs="Arial"/>
          <w:b/>
          <w:bCs/>
          <w:sz w:val="21"/>
          <w:szCs w:val="21"/>
        </w:rPr>
      </w:pPr>
      <w:r w:rsidRPr="00E941EF">
        <w:rPr>
          <w:rFonts w:ascii="Arial" w:hAnsi="Arial" w:cs="Arial"/>
          <w:b/>
          <w:bCs/>
          <w:sz w:val="21"/>
          <w:szCs w:val="21"/>
        </w:rPr>
        <w:t>NATIONAL EMERGENCY</w:t>
      </w:r>
    </w:p>
    <w:p w14:paraId="499C252B" w14:textId="77777777" w:rsidR="00845B11" w:rsidRPr="00C16A8D" w:rsidRDefault="00845B11" w:rsidP="00845B11">
      <w:pPr>
        <w:rPr>
          <w:rFonts w:ascii="Arial" w:hAnsi="Arial" w:cs="Arial"/>
          <w:b/>
          <w:bCs/>
          <w:sz w:val="21"/>
          <w:szCs w:val="21"/>
        </w:rPr>
      </w:pPr>
      <w:bookmarkStart w:id="2" w:name="_Hlk130280920"/>
      <w:r w:rsidRPr="00C16A8D">
        <w:rPr>
          <w:rFonts w:ascii="Arial" w:hAnsi="Arial" w:cs="Arial"/>
          <w:b/>
          <w:bCs/>
          <w:sz w:val="21"/>
          <w:szCs w:val="21"/>
        </w:rPr>
        <w:t>Overview</w:t>
      </w:r>
    </w:p>
    <w:p w14:paraId="064AB92B" w14:textId="6C304892" w:rsidR="00845B11" w:rsidRDefault="00845B11" w:rsidP="00845B11">
      <w:pPr>
        <w:rPr>
          <w:rFonts w:ascii="Arial" w:eastAsia="Times New Roman" w:hAnsi="Arial" w:cs="Arial"/>
          <w:sz w:val="21"/>
          <w:szCs w:val="21"/>
        </w:rPr>
      </w:pPr>
      <w:r>
        <w:rPr>
          <w:rFonts w:ascii="Arial" w:hAnsi="Arial" w:cs="Arial"/>
          <w:sz w:val="21"/>
          <w:szCs w:val="21"/>
        </w:rPr>
        <w:t>In addition to the Public Health Emergency, t</w:t>
      </w:r>
      <w:r w:rsidRPr="00C16A8D">
        <w:rPr>
          <w:rFonts w:ascii="Arial" w:hAnsi="Arial" w:cs="Arial"/>
          <w:sz w:val="21"/>
          <w:szCs w:val="21"/>
        </w:rPr>
        <w:t xml:space="preserve">he Federal </w:t>
      </w:r>
      <w:r>
        <w:rPr>
          <w:rFonts w:ascii="Arial" w:hAnsi="Arial" w:cs="Arial"/>
          <w:sz w:val="21"/>
          <w:szCs w:val="21"/>
        </w:rPr>
        <w:t>G</w:t>
      </w:r>
      <w:r w:rsidRPr="00C16A8D">
        <w:rPr>
          <w:rFonts w:ascii="Arial" w:hAnsi="Arial" w:cs="Arial"/>
          <w:sz w:val="21"/>
          <w:szCs w:val="21"/>
        </w:rPr>
        <w:t xml:space="preserve">overnment </w:t>
      </w:r>
      <w:r>
        <w:rPr>
          <w:rFonts w:ascii="Arial" w:hAnsi="Arial" w:cs="Arial"/>
          <w:sz w:val="21"/>
          <w:szCs w:val="21"/>
        </w:rPr>
        <w:t xml:space="preserve">also </w:t>
      </w:r>
      <w:r w:rsidRPr="00C16A8D">
        <w:rPr>
          <w:rFonts w:ascii="Arial" w:eastAsia="Times New Roman" w:hAnsi="Arial" w:cs="Arial"/>
          <w:sz w:val="21"/>
          <w:szCs w:val="21"/>
        </w:rPr>
        <w:t xml:space="preserve">declared a </w:t>
      </w:r>
      <w:r w:rsidRPr="00C16A8D">
        <w:rPr>
          <w:rFonts w:ascii="Arial" w:eastAsia="Times New Roman" w:hAnsi="Arial" w:cs="Arial"/>
          <w:b/>
          <w:bCs/>
          <w:sz w:val="21"/>
          <w:szCs w:val="21"/>
        </w:rPr>
        <w:t>National Emergency</w:t>
      </w:r>
      <w:r w:rsidRPr="00C16A8D">
        <w:rPr>
          <w:rFonts w:ascii="Arial" w:eastAsia="Times New Roman" w:hAnsi="Arial" w:cs="Arial"/>
          <w:sz w:val="21"/>
          <w:szCs w:val="21"/>
        </w:rPr>
        <w:t xml:space="preserve"> in March of 2020 concerning the COVID-19</w:t>
      </w:r>
      <w:r>
        <w:rPr>
          <w:rFonts w:ascii="Arial" w:eastAsia="Times New Roman" w:hAnsi="Arial" w:cs="Arial"/>
          <w:sz w:val="21"/>
          <w:szCs w:val="21"/>
        </w:rPr>
        <w:t xml:space="preserve"> </w:t>
      </w:r>
      <w:r w:rsidRPr="00C16A8D">
        <w:rPr>
          <w:rFonts w:ascii="Arial" w:eastAsia="Times New Roman" w:hAnsi="Arial" w:cs="Arial"/>
          <w:sz w:val="21"/>
          <w:szCs w:val="21"/>
        </w:rPr>
        <w:t>outbreak. Th</w:t>
      </w:r>
      <w:r>
        <w:rPr>
          <w:rFonts w:ascii="Arial" w:eastAsia="Times New Roman" w:hAnsi="Arial" w:cs="Arial"/>
          <w:sz w:val="21"/>
          <w:szCs w:val="21"/>
        </w:rPr>
        <w:t>is</w:t>
      </w:r>
      <w:r w:rsidRPr="00C16A8D">
        <w:rPr>
          <w:rFonts w:ascii="Arial" w:eastAsia="Times New Roman" w:hAnsi="Arial" w:cs="Arial"/>
          <w:sz w:val="21"/>
          <w:szCs w:val="21"/>
        </w:rPr>
        <w:t xml:space="preserve"> declaration allowed the </w:t>
      </w:r>
      <w:r>
        <w:rPr>
          <w:rFonts w:ascii="Arial" w:eastAsia="Times New Roman" w:hAnsi="Arial" w:cs="Arial"/>
          <w:sz w:val="21"/>
          <w:szCs w:val="21"/>
        </w:rPr>
        <w:t>F</w:t>
      </w:r>
      <w:r w:rsidRPr="00C16A8D">
        <w:rPr>
          <w:rFonts w:ascii="Arial" w:eastAsia="Times New Roman" w:hAnsi="Arial" w:cs="Arial"/>
          <w:sz w:val="21"/>
          <w:szCs w:val="21"/>
        </w:rPr>
        <w:t xml:space="preserve">ederal </w:t>
      </w:r>
      <w:r>
        <w:rPr>
          <w:rFonts w:ascii="Arial" w:eastAsia="Times New Roman" w:hAnsi="Arial" w:cs="Arial"/>
          <w:sz w:val="21"/>
          <w:szCs w:val="21"/>
        </w:rPr>
        <w:t>G</w:t>
      </w:r>
      <w:r w:rsidRPr="00C16A8D">
        <w:rPr>
          <w:rFonts w:ascii="Arial" w:eastAsia="Times New Roman" w:hAnsi="Arial" w:cs="Arial"/>
          <w:sz w:val="21"/>
          <w:szCs w:val="21"/>
        </w:rPr>
        <w:t>overnment to suspend certain deadlines relating to health plan coverage</w:t>
      </w:r>
      <w:r>
        <w:rPr>
          <w:rFonts w:ascii="Arial" w:eastAsia="Times New Roman" w:hAnsi="Arial" w:cs="Arial"/>
          <w:sz w:val="21"/>
          <w:szCs w:val="21"/>
        </w:rPr>
        <w:t xml:space="preserve"> and other liabilities</w:t>
      </w:r>
      <w:r w:rsidRPr="00C16A8D">
        <w:rPr>
          <w:rFonts w:ascii="Arial" w:eastAsia="Times New Roman" w:hAnsi="Arial" w:cs="Arial"/>
          <w:sz w:val="21"/>
          <w:szCs w:val="21"/>
        </w:rPr>
        <w:t xml:space="preserve"> for the duration of the </w:t>
      </w:r>
      <w:r>
        <w:rPr>
          <w:rFonts w:ascii="Arial" w:eastAsia="Times New Roman" w:hAnsi="Arial" w:cs="Arial"/>
          <w:sz w:val="21"/>
          <w:szCs w:val="21"/>
        </w:rPr>
        <w:t xml:space="preserve">declared </w:t>
      </w:r>
      <w:r w:rsidRPr="00C16A8D">
        <w:rPr>
          <w:rFonts w:ascii="Arial" w:eastAsia="Times New Roman" w:hAnsi="Arial" w:cs="Arial"/>
          <w:sz w:val="21"/>
          <w:szCs w:val="21"/>
        </w:rPr>
        <w:t xml:space="preserve">emergency “Outbreak Period.” </w:t>
      </w:r>
      <w:r>
        <w:rPr>
          <w:rFonts w:ascii="Arial" w:eastAsia="Times New Roman" w:hAnsi="Arial" w:cs="Arial"/>
          <w:sz w:val="21"/>
          <w:szCs w:val="21"/>
        </w:rPr>
        <w:t>T</w:t>
      </w:r>
      <w:r w:rsidRPr="00C16A8D">
        <w:rPr>
          <w:rFonts w:ascii="Arial" w:eastAsia="Times New Roman" w:hAnsi="Arial" w:cs="Arial"/>
          <w:sz w:val="21"/>
          <w:szCs w:val="21"/>
        </w:rPr>
        <w:t xml:space="preserve">he “Outbreak Period” was declared on </w:t>
      </w:r>
      <w:r w:rsidR="00E15F07" w:rsidRPr="00C16A8D">
        <w:rPr>
          <w:rFonts w:ascii="Arial" w:eastAsia="Times New Roman" w:hAnsi="Arial" w:cs="Arial"/>
          <w:sz w:val="21"/>
          <w:szCs w:val="21"/>
        </w:rPr>
        <w:t xml:space="preserve">March 1, </w:t>
      </w:r>
      <w:r w:rsidR="00E15F07" w:rsidRPr="00CC6BF1">
        <w:rPr>
          <w:rFonts w:ascii="Arial" w:eastAsia="Times New Roman" w:hAnsi="Arial" w:cs="Arial"/>
          <w:sz w:val="21"/>
          <w:szCs w:val="21"/>
        </w:rPr>
        <w:t>2020 and</w:t>
      </w:r>
      <w:r w:rsidRPr="00C16A8D">
        <w:rPr>
          <w:rFonts w:ascii="Arial" w:eastAsia="Times New Roman" w:hAnsi="Arial" w:cs="Arial"/>
          <w:sz w:val="21"/>
          <w:szCs w:val="21"/>
        </w:rPr>
        <w:t xml:space="preserve"> will conclude 60-days following the </w:t>
      </w:r>
      <w:r>
        <w:rPr>
          <w:rFonts w:ascii="Arial" w:eastAsia="Times New Roman" w:hAnsi="Arial" w:cs="Arial"/>
          <w:sz w:val="21"/>
          <w:szCs w:val="21"/>
        </w:rPr>
        <w:t>N</w:t>
      </w:r>
      <w:r w:rsidRPr="00C16A8D">
        <w:rPr>
          <w:rFonts w:ascii="Arial" w:eastAsia="Times New Roman" w:hAnsi="Arial" w:cs="Arial"/>
          <w:sz w:val="21"/>
          <w:szCs w:val="21"/>
        </w:rPr>
        <w:t xml:space="preserve">ational </w:t>
      </w:r>
      <w:r>
        <w:rPr>
          <w:rFonts w:ascii="Arial" w:eastAsia="Times New Roman" w:hAnsi="Arial" w:cs="Arial"/>
          <w:sz w:val="21"/>
          <w:szCs w:val="21"/>
        </w:rPr>
        <w:t>E</w:t>
      </w:r>
      <w:r w:rsidRPr="00C16A8D">
        <w:rPr>
          <w:rFonts w:ascii="Arial" w:eastAsia="Times New Roman" w:hAnsi="Arial" w:cs="Arial"/>
          <w:sz w:val="21"/>
          <w:szCs w:val="21"/>
        </w:rPr>
        <w:t>mergency end date</w:t>
      </w:r>
      <w:r>
        <w:rPr>
          <w:rFonts w:ascii="Arial" w:eastAsia="Times New Roman" w:hAnsi="Arial" w:cs="Arial"/>
          <w:sz w:val="21"/>
          <w:szCs w:val="21"/>
        </w:rPr>
        <w:t xml:space="preserve">. </w:t>
      </w:r>
    </w:p>
    <w:p w14:paraId="7BAE523A" w14:textId="77777777" w:rsidR="00845B11" w:rsidRPr="00C16A8D" w:rsidRDefault="00845B11" w:rsidP="00845B11">
      <w:pPr>
        <w:rPr>
          <w:rFonts w:ascii="Arial" w:hAnsi="Arial" w:cs="Arial"/>
          <w:sz w:val="21"/>
          <w:szCs w:val="21"/>
        </w:rPr>
      </w:pPr>
      <w:r w:rsidRPr="00C16A8D">
        <w:rPr>
          <w:rFonts w:ascii="Arial" w:eastAsia="Times New Roman" w:hAnsi="Arial" w:cs="Arial"/>
          <w:sz w:val="21"/>
          <w:szCs w:val="21"/>
        </w:rPr>
        <w:t>Pursuant to this declaration, the government</w:t>
      </w:r>
      <w:r w:rsidRPr="00C16A8D">
        <w:rPr>
          <w:rFonts w:ascii="Arial" w:hAnsi="Arial" w:cs="Arial"/>
          <w:sz w:val="21"/>
          <w:szCs w:val="21"/>
        </w:rPr>
        <w:t xml:space="preserve"> suspended the following timeframes for both group health plans and their plan members during the Outbreak Period:</w:t>
      </w:r>
    </w:p>
    <w:p w14:paraId="69957055" w14:textId="77777777" w:rsidR="00845B11" w:rsidRPr="00C16A8D" w:rsidRDefault="00845B11" w:rsidP="00845B11">
      <w:pPr>
        <w:pStyle w:val="ListParagraph"/>
        <w:numPr>
          <w:ilvl w:val="0"/>
          <w:numId w:val="5"/>
        </w:numPr>
        <w:shd w:val="clear" w:color="auto" w:fill="FFFFFF"/>
        <w:spacing w:after="0" w:line="240" w:lineRule="auto"/>
        <w:rPr>
          <w:rFonts w:ascii="Arial" w:hAnsi="Arial" w:cs="Arial"/>
          <w:sz w:val="21"/>
          <w:szCs w:val="21"/>
        </w:rPr>
      </w:pPr>
      <w:r w:rsidRPr="00C16A8D">
        <w:rPr>
          <w:rFonts w:ascii="Arial" w:hAnsi="Arial" w:cs="Arial"/>
          <w:sz w:val="21"/>
          <w:szCs w:val="21"/>
        </w:rPr>
        <w:t>The 30-day period (or 60-day period, if applicable) to request HIPAA special enrollment.</w:t>
      </w:r>
    </w:p>
    <w:p w14:paraId="2503510F" w14:textId="77777777" w:rsidR="00845B11" w:rsidRPr="00C16A8D" w:rsidRDefault="00845B11" w:rsidP="00845B11">
      <w:pPr>
        <w:pStyle w:val="ListParagraph"/>
        <w:numPr>
          <w:ilvl w:val="0"/>
          <w:numId w:val="5"/>
        </w:numPr>
        <w:shd w:val="clear" w:color="auto" w:fill="FFFFFF"/>
        <w:spacing w:after="0" w:line="240" w:lineRule="auto"/>
        <w:rPr>
          <w:rFonts w:ascii="Arial" w:hAnsi="Arial" w:cs="Arial"/>
          <w:sz w:val="21"/>
          <w:szCs w:val="21"/>
        </w:rPr>
      </w:pPr>
      <w:r w:rsidRPr="00C16A8D">
        <w:rPr>
          <w:rFonts w:ascii="Arial" w:hAnsi="Arial" w:cs="Arial"/>
          <w:sz w:val="21"/>
          <w:szCs w:val="21"/>
        </w:rPr>
        <w:t>The 60-day election period for COBRA continuation coverage.</w:t>
      </w:r>
    </w:p>
    <w:p w14:paraId="0B4980AC" w14:textId="77777777" w:rsidR="00845B11" w:rsidRPr="00C16A8D" w:rsidRDefault="00845B11" w:rsidP="00845B11">
      <w:pPr>
        <w:pStyle w:val="ListParagraph"/>
        <w:numPr>
          <w:ilvl w:val="0"/>
          <w:numId w:val="5"/>
        </w:numPr>
        <w:shd w:val="clear" w:color="auto" w:fill="FFFFFF"/>
        <w:spacing w:after="0" w:line="240" w:lineRule="auto"/>
        <w:rPr>
          <w:rFonts w:ascii="Arial" w:hAnsi="Arial" w:cs="Arial"/>
          <w:sz w:val="21"/>
          <w:szCs w:val="21"/>
        </w:rPr>
      </w:pPr>
      <w:r w:rsidRPr="00C16A8D">
        <w:rPr>
          <w:rFonts w:ascii="Arial" w:hAnsi="Arial" w:cs="Arial"/>
          <w:sz w:val="21"/>
          <w:szCs w:val="21"/>
        </w:rPr>
        <w:t>The 45-day period in which to make a first premium payment and 30-day deadline for subsequent premium payments.</w:t>
      </w:r>
    </w:p>
    <w:p w14:paraId="1DDA0042" w14:textId="77777777" w:rsidR="00845B11" w:rsidRPr="00C16A8D" w:rsidRDefault="00845B11" w:rsidP="00845B11">
      <w:pPr>
        <w:pStyle w:val="ListParagraph"/>
        <w:numPr>
          <w:ilvl w:val="0"/>
          <w:numId w:val="5"/>
        </w:numPr>
        <w:shd w:val="clear" w:color="auto" w:fill="FFFFFF"/>
        <w:spacing w:after="0" w:line="240" w:lineRule="auto"/>
        <w:rPr>
          <w:rFonts w:ascii="Arial" w:hAnsi="Arial" w:cs="Arial"/>
          <w:sz w:val="21"/>
          <w:szCs w:val="21"/>
        </w:rPr>
      </w:pPr>
      <w:r w:rsidRPr="00C16A8D">
        <w:rPr>
          <w:rFonts w:ascii="Arial" w:hAnsi="Arial" w:cs="Arial"/>
          <w:sz w:val="21"/>
          <w:szCs w:val="21"/>
        </w:rPr>
        <w:t>The 60-day period for qualified beneficiaries to notify the plan of certain COBRA qualifying events (</w:t>
      </w:r>
      <w:r w:rsidRPr="00C16A8D">
        <w:rPr>
          <w:rFonts w:ascii="Arial" w:hAnsi="Arial" w:cs="Arial"/>
          <w:i/>
          <w:iCs/>
          <w:sz w:val="21"/>
          <w:szCs w:val="21"/>
        </w:rPr>
        <w:t>e.g.</w:t>
      </w:r>
      <w:r w:rsidRPr="00C16A8D">
        <w:rPr>
          <w:rFonts w:ascii="Arial" w:hAnsi="Arial" w:cs="Arial"/>
          <w:sz w:val="21"/>
          <w:szCs w:val="21"/>
        </w:rPr>
        <w:t>, divorce, aging out of child dependent status, death of employee) or a determination of disability.</w:t>
      </w:r>
    </w:p>
    <w:p w14:paraId="4F48992D" w14:textId="77777777" w:rsidR="00845B11" w:rsidRPr="00C16A8D" w:rsidRDefault="00845B11" w:rsidP="00845B11">
      <w:pPr>
        <w:pStyle w:val="ListParagraph"/>
        <w:numPr>
          <w:ilvl w:val="0"/>
          <w:numId w:val="5"/>
        </w:numPr>
        <w:shd w:val="clear" w:color="auto" w:fill="FFFFFF"/>
        <w:spacing w:after="0" w:line="240" w:lineRule="auto"/>
        <w:rPr>
          <w:rFonts w:ascii="Arial" w:hAnsi="Arial" w:cs="Arial"/>
          <w:sz w:val="21"/>
          <w:szCs w:val="21"/>
        </w:rPr>
      </w:pPr>
      <w:r w:rsidRPr="00C16A8D">
        <w:rPr>
          <w:rFonts w:ascii="Arial" w:hAnsi="Arial" w:cs="Arial"/>
          <w:sz w:val="21"/>
          <w:szCs w:val="21"/>
        </w:rPr>
        <w:t>The deadlines for plan members to file claims for benefits, and to appeal adverse benefit determinations.</w:t>
      </w:r>
    </w:p>
    <w:p w14:paraId="2F292BD7" w14:textId="77777777" w:rsidR="00845B11" w:rsidRPr="00C16A8D" w:rsidRDefault="00845B11" w:rsidP="00845B11">
      <w:pPr>
        <w:pStyle w:val="ListParagraph"/>
        <w:numPr>
          <w:ilvl w:val="0"/>
          <w:numId w:val="5"/>
        </w:numPr>
        <w:shd w:val="clear" w:color="auto" w:fill="FFFFFF"/>
        <w:spacing w:after="0" w:line="240" w:lineRule="auto"/>
        <w:rPr>
          <w:rFonts w:ascii="Arial" w:hAnsi="Arial" w:cs="Arial"/>
          <w:sz w:val="21"/>
          <w:szCs w:val="21"/>
        </w:rPr>
      </w:pPr>
      <w:r w:rsidRPr="00C16A8D">
        <w:rPr>
          <w:rFonts w:ascii="Arial" w:hAnsi="Arial" w:cs="Arial"/>
          <w:sz w:val="21"/>
          <w:szCs w:val="21"/>
        </w:rPr>
        <w:t>The four-month deadline for plan members to file requests for external review.</w:t>
      </w:r>
    </w:p>
    <w:p w14:paraId="59839E70" w14:textId="77777777" w:rsidR="00845B11" w:rsidRPr="00C16A8D" w:rsidRDefault="00845B11" w:rsidP="00845B11">
      <w:pPr>
        <w:rPr>
          <w:rFonts w:ascii="Arial" w:hAnsi="Arial" w:cs="Arial"/>
          <w:sz w:val="21"/>
          <w:szCs w:val="21"/>
        </w:rPr>
      </w:pPr>
    </w:p>
    <w:p w14:paraId="29620588" w14:textId="77777777" w:rsidR="00845B11" w:rsidRPr="00C16A8D" w:rsidRDefault="00845B11" w:rsidP="00845B11">
      <w:pPr>
        <w:rPr>
          <w:rFonts w:ascii="Arial" w:hAnsi="Arial" w:cs="Arial"/>
          <w:b/>
          <w:bCs/>
          <w:sz w:val="21"/>
          <w:szCs w:val="21"/>
        </w:rPr>
      </w:pPr>
      <w:r w:rsidRPr="00C16A8D">
        <w:rPr>
          <w:rFonts w:ascii="Arial" w:hAnsi="Arial" w:cs="Arial"/>
          <w:b/>
          <w:bCs/>
          <w:sz w:val="21"/>
          <w:szCs w:val="21"/>
        </w:rPr>
        <w:t xml:space="preserve">What will change when the </w:t>
      </w:r>
      <w:r>
        <w:rPr>
          <w:rFonts w:ascii="Arial" w:hAnsi="Arial" w:cs="Arial"/>
          <w:b/>
          <w:bCs/>
          <w:sz w:val="21"/>
          <w:szCs w:val="21"/>
        </w:rPr>
        <w:t>National Emergency</w:t>
      </w:r>
      <w:r w:rsidRPr="00C16A8D">
        <w:rPr>
          <w:rFonts w:ascii="Arial" w:hAnsi="Arial" w:cs="Arial"/>
          <w:b/>
          <w:bCs/>
          <w:sz w:val="21"/>
          <w:szCs w:val="21"/>
        </w:rPr>
        <w:t xml:space="preserve"> declaration expires</w:t>
      </w:r>
    </w:p>
    <w:p w14:paraId="307AF9E4" w14:textId="77777777" w:rsidR="00845B11" w:rsidRPr="00A7004E" w:rsidRDefault="00845B11" w:rsidP="00845B11">
      <w:pPr>
        <w:rPr>
          <w:rFonts w:ascii="Arial" w:eastAsia="Times New Roman" w:hAnsi="Arial" w:cs="Arial"/>
          <w:sz w:val="21"/>
          <w:szCs w:val="21"/>
        </w:rPr>
      </w:pPr>
      <w:r w:rsidRPr="00C16A8D">
        <w:rPr>
          <w:rFonts w:ascii="Arial" w:eastAsia="Times New Roman" w:hAnsi="Arial" w:cs="Arial"/>
          <w:sz w:val="21"/>
          <w:szCs w:val="21"/>
        </w:rPr>
        <w:t xml:space="preserve">We now know that the National Emergency will end May 11, 2023.  </w:t>
      </w:r>
      <w:r w:rsidRPr="00C16A8D">
        <w:rPr>
          <w:rFonts w:ascii="Arial" w:eastAsia="Times New Roman" w:hAnsi="Arial" w:cs="Arial"/>
          <w:b/>
          <w:bCs/>
          <w:sz w:val="21"/>
          <w:szCs w:val="21"/>
        </w:rPr>
        <w:t xml:space="preserve">Accordingly, the Outbreak Period </w:t>
      </w:r>
      <w:r w:rsidRPr="00C16A8D">
        <w:rPr>
          <w:rFonts w:ascii="Arial" w:hAnsi="Arial" w:cs="Arial"/>
          <w:b/>
          <w:bCs/>
          <w:sz w:val="21"/>
          <w:szCs w:val="21"/>
        </w:rPr>
        <w:t xml:space="preserve">will come to an end universally on July 10, 2023 </w:t>
      </w:r>
      <w:r w:rsidRPr="00C16A8D">
        <w:rPr>
          <w:rFonts w:ascii="Arial" w:hAnsi="Arial" w:cs="Arial"/>
          <w:sz w:val="21"/>
          <w:szCs w:val="21"/>
        </w:rPr>
        <w:t>(60 days after the end of the National Emergency)</w:t>
      </w:r>
      <w:r>
        <w:rPr>
          <w:rFonts w:ascii="Arial" w:hAnsi="Arial" w:cs="Arial"/>
          <w:sz w:val="21"/>
          <w:szCs w:val="21"/>
        </w:rPr>
        <w:t>.</w:t>
      </w:r>
    </w:p>
    <w:p w14:paraId="78D15E3E" w14:textId="77777777" w:rsidR="00845B11" w:rsidRPr="00C16A8D" w:rsidRDefault="00845B11" w:rsidP="00845B11">
      <w:pPr>
        <w:rPr>
          <w:rFonts w:ascii="Arial" w:eastAsia="Times New Roman" w:hAnsi="Arial" w:cs="Arial"/>
          <w:sz w:val="21"/>
          <w:szCs w:val="21"/>
        </w:rPr>
      </w:pPr>
      <w:r w:rsidRPr="00C16A8D">
        <w:rPr>
          <w:rFonts w:ascii="Arial" w:eastAsia="Times New Roman" w:hAnsi="Arial" w:cs="Arial"/>
          <w:sz w:val="21"/>
          <w:szCs w:val="21"/>
        </w:rPr>
        <w:t xml:space="preserve">The suspension </w:t>
      </w:r>
      <w:r>
        <w:rPr>
          <w:rFonts w:ascii="Arial" w:eastAsia="Times New Roman" w:hAnsi="Arial" w:cs="Arial"/>
          <w:sz w:val="21"/>
          <w:szCs w:val="21"/>
        </w:rPr>
        <w:t>for the above-referenced timeframes will last until the earlier of</w:t>
      </w:r>
      <w:r w:rsidRPr="00C16A8D">
        <w:rPr>
          <w:rFonts w:ascii="Arial" w:eastAsia="Times New Roman" w:hAnsi="Arial" w:cs="Arial"/>
          <w:sz w:val="21"/>
          <w:szCs w:val="21"/>
        </w:rPr>
        <w:t>:</w:t>
      </w:r>
    </w:p>
    <w:p w14:paraId="13195621" w14:textId="77777777" w:rsidR="00845B11" w:rsidRPr="00C16A8D" w:rsidRDefault="00845B11" w:rsidP="00845B11">
      <w:pPr>
        <w:pStyle w:val="ListParagraph"/>
        <w:numPr>
          <w:ilvl w:val="0"/>
          <w:numId w:val="18"/>
        </w:numPr>
        <w:rPr>
          <w:rFonts w:ascii="Arial" w:eastAsia="Times New Roman" w:hAnsi="Arial" w:cs="Arial"/>
          <w:sz w:val="21"/>
          <w:szCs w:val="21"/>
        </w:rPr>
      </w:pPr>
      <w:r w:rsidRPr="00C16A8D">
        <w:rPr>
          <w:rFonts w:ascii="Arial" w:eastAsia="Times New Roman" w:hAnsi="Arial" w:cs="Arial"/>
          <w:sz w:val="21"/>
          <w:szCs w:val="21"/>
        </w:rPr>
        <w:t>One</w:t>
      </w:r>
      <w:r>
        <w:rPr>
          <w:rFonts w:ascii="Arial" w:eastAsia="Times New Roman" w:hAnsi="Arial" w:cs="Arial"/>
          <w:sz w:val="21"/>
          <w:szCs w:val="21"/>
        </w:rPr>
        <w:t xml:space="preserve"> (1) </w:t>
      </w:r>
      <w:r w:rsidRPr="00C16A8D">
        <w:rPr>
          <w:rFonts w:ascii="Arial" w:eastAsia="Times New Roman" w:hAnsi="Arial" w:cs="Arial"/>
          <w:sz w:val="21"/>
          <w:szCs w:val="21"/>
        </w:rPr>
        <w:t xml:space="preserve">year from the date that any applicable time period would have otherwise begun running for the particular plan member, </w:t>
      </w:r>
      <w:proofErr w:type="gramStart"/>
      <w:r w:rsidRPr="00C16A8D">
        <w:rPr>
          <w:rFonts w:ascii="Arial" w:eastAsia="Times New Roman" w:hAnsi="Arial" w:cs="Arial"/>
          <w:sz w:val="21"/>
          <w:szCs w:val="21"/>
        </w:rPr>
        <w:t>or;</w:t>
      </w:r>
      <w:proofErr w:type="gramEnd"/>
    </w:p>
    <w:p w14:paraId="4E09EF27" w14:textId="77777777" w:rsidR="00845B11" w:rsidRPr="00C16A8D" w:rsidRDefault="00845B11" w:rsidP="00845B11">
      <w:pPr>
        <w:pStyle w:val="ListParagraph"/>
        <w:numPr>
          <w:ilvl w:val="0"/>
          <w:numId w:val="18"/>
        </w:numPr>
        <w:rPr>
          <w:rFonts w:ascii="Arial" w:eastAsia="Times New Roman" w:hAnsi="Arial" w:cs="Arial"/>
          <w:sz w:val="21"/>
          <w:szCs w:val="21"/>
        </w:rPr>
      </w:pPr>
      <w:r w:rsidRPr="00C16A8D">
        <w:rPr>
          <w:rFonts w:ascii="Arial" w:eastAsia="Times New Roman" w:hAnsi="Arial" w:cs="Arial"/>
          <w:sz w:val="21"/>
          <w:szCs w:val="21"/>
        </w:rPr>
        <w:t>60</w:t>
      </w:r>
      <w:r>
        <w:rPr>
          <w:rFonts w:ascii="Arial" w:eastAsia="Times New Roman" w:hAnsi="Arial" w:cs="Arial"/>
          <w:sz w:val="21"/>
          <w:szCs w:val="21"/>
        </w:rPr>
        <w:t>-</w:t>
      </w:r>
      <w:r w:rsidRPr="00C16A8D">
        <w:rPr>
          <w:rFonts w:ascii="Arial" w:eastAsia="Times New Roman" w:hAnsi="Arial" w:cs="Arial"/>
          <w:sz w:val="21"/>
          <w:szCs w:val="21"/>
        </w:rPr>
        <w:t>days from the end of the National Emergency</w:t>
      </w:r>
      <w:r>
        <w:rPr>
          <w:rFonts w:ascii="Arial" w:eastAsia="Times New Roman" w:hAnsi="Arial" w:cs="Arial"/>
          <w:sz w:val="21"/>
          <w:szCs w:val="21"/>
        </w:rPr>
        <w:t xml:space="preserve"> (</w:t>
      </w:r>
      <w:proofErr w:type="gramStart"/>
      <w:r>
        <w:rPr>
          <w:rFonts w:ascii="Arial" w:eastAsia="Times New Roman" w:hAnsi="Arial" w:cs="Arial"/>
          <w:sz w:val="21"/>
          <w:szCs w:val="21"/>
        </w:rPr>
        <w:t>e.g.</w:t>
      </w:r>
      <w:proofErr w:type="gramEnd"/>
      <w:r>
        <w:rPr>
          <w:rFonts w:ascii="Arial" w:eastAsia="Times New Roman" w:hAnsi="Arial" w:cs="Arial"/>
          <w:sz w:val="21"/>
          <w:szCs w:val="21"/>
        </w:rPr>
        <w:t xml:space="preserve"> the Outbreak Period) </w:t>
      </w:r>
      <w:r w:rsidRPr="00C16A8D">
        <w:rPr>
          <w:rFonts w:ascii="Arial" w:hAnsi="Arial" w:cs="Arial"/>
          <w:b/>
          <w:bCs/>
          <w:sz w:val="21"/>
          <w:szCs w:val="21"/>
        </w:rPr>
        <w:t>on July 10, 2023</w:t>
      </w:r>
      <w:r w:rsidRPr="00C16A8D">
        <w:rPr>
          <w:rFonts w:ascii="Arial" w:hAnsi="Arial" w:cs="Arial"/>
          <w:sz w:val="21"/>
          <w:szCs w:val="21"/>
        </w:rPr>
        <w:t xml:space="preserve">, and the above-referenced timeframes that have not yet expired under the </w:t>
      </w:r>
      <w:r>
        <w:rPr>
          <w:rFonts w:ascii="Arial" w:hAnsi="Arial" w:cs="Arial"/>
          <w:sz w:val="21"/>
          <w:szCs w:val="21"/>
        </w:rPr>
        <w:t>one</w:t>
      </w:r>
      <w:r w:rsidRPr="00C16A8D">
        <w:rPr>
          <w:rFonts w:ascii="Arial" w:hAnsi="Arial" w:cs="Arial"/>
          <w:sz w:val="21"/>
          <w:szCs w:val="21"/>
        </w:rPr>
        <w:t xml:space="preserve"> year rule will begin.  </w:t>
      </w:r>
    </w:p>
    <w:p w14:paraId="6E2889BA" w14:textId="77777777" w:rsidR="00845B11" w:rsidRPr="00C16A8D" w:rsidRDefault="00845B11" w:rsidP="00845B11">
      <w:pPr>
        <w:rPr>
          <w:rFonts w:ascii="Arial" w:hAnsi="Arial" w:cs="Arial"/>
          <w:sz w:val="21"/>
          <w:szCs w:val="21"/>
        </w:rPr>
      </w:pPr>
      <w:r w:rsidRPr="00C16A8D">
        <w:rPr>
          <w:rFonts w:ascii="Arial" w:hAnsi="Arial" w:cs="Arial"/>
          <w:sz w:val="21"/>
          <w:szCs w:val="21"/>
        </w:rPr>
        <w:t>Below are examples to illustrate the above rules:</w:t>
      </w:r>
    </w:p>
    <w:p w14:paraId="24388741" w14:textId="77777777" w:rsidR="00845B11" w:rsidRPr="00C16A8D" w:rsidRDefault="00845B11" w:rsidP="00845B11">
      <w:pPr>
        <w:pStyle w:val="ListParagraph"/>
        <w:numPr>
          <w:ilvl w:val="0"/>
          <w:numId w:val="8"/>
        </w:numPr>
        <w:rPr>
          <w:rFonts w:ascii="Arial" w:hAnsi="Arial" w:cs="Arial"/>
          <w:sz w:val="21"/>
          <w:szCs w:val="21"/>
        </w:rPr>
      </w:pPr>
      <w:r w:rsidRPr="00C16A8D">
        <w:rPr>
          <w:rFonts w:ascii="Arial" w:hAnsi="Arial" w:cs="Arial"/>
          <w:b/>
          <w:bCs/>
          <w:sz w:val="21"/>
          <w:szCs w:val="21"/>
        </w:rPr>
        <w:t>Scenario 1:</w:t>
      </w:r>
      <w:r>
        <w:rPr>
          <w:rFonts w:ascii="Arial" w:hAnsi="Arial" w:cs="Arial"/>
          <w:sz w:val="21"/>
          <w:szCs w:val="21"/>
        </w:rPr>
        <w:t xml:space="preserve"> </w:t>
      </w:r>
      <w:r w:rsidRPr="00C16A8D">
        <w:rPr>
          <w:rFonts w:ascii="Arial" w:hAnsi="Arial" w:cs="Arial"/>
          <w:sz w:val="21"/>
          <w:szCs w:val="21"/>
        </w:rPr>
        <w:t>John was sent a COBRA election notice on July 1, 2022. The 60-day election period was suspended until the earlier of (</w:t>
      </w:r>
      <w:proofErr w:type="spellStart"/>
      <w:r w:rsidRPr="00C16A8D">
        <w:rPr>
          <w:rFonts w:ascii="Arial" w:hAnsi="Arial" w:cs="Arial"/>
          <w:sz w:val="21"/>
          <w:szCs w:val="21"/>
        </w:rPr>
        <w:t>i</w:t>
      </w:r>
      <w:proofErr w:type="spellEnd"/>
      <w:r w:rsidRPr="00C16A8D">
        <w:rPr>
          <w:rFonts w:ascii="Arial" w:hAnsi="Arial" w:cs="Arial"/>
          <w:sz w:val="21"/>
          <w:szCs w:val="21"/>
        </w:rPr>
        <w:t>) one year from July 1, 2022 or (</w:t>
      </w:r>
      <w:proofErr w:type="spellStart"/>
      <w:r w:rsidRPr="00C16A8D">
        <w:rPr>
          <w:rFonts w:ascii="Arial" w:hAnsi="Arial" w:cs="Arial"/>
          <w:sz w:val="21"/>
          <w:szCs w:val="21"/>
        </w:rPr>
        <w:t>i</w:t>
      </w:r>
      <w:proofErr w:type="spellEnd"/>
      <w:r w:rsidRPr="00C16A8D">
        <w:rPr>
          <w:rFonts w:ascii="Arial" w:hAnsi="Arial" w:cs="Arial"/>
          <w:sz w:val="21"/>
          <w:szCs w:val="21"/>
        </w:rPr>
        <w:t>) July 10, 2023.</w:t>
      </w:r>
      <w:r>
        <w:rPr>
          <w:rFonts w:ascii="Arial" w:hAnsi="Arial" w:cs="Arial"/>
          <w:sz w:val="21"/>
          <w:szCs w:val="21"/>
        </w:rPr>
        <w:t xml:space="preserve"> </w:t>
      </w:r>
      <w:r w:rsidRPr="00C16A8D">
        <w:rPr>
          <w:rFonts w:ascii="Arial" w:hAnsi="Arial" w:cs="Arial"/>
          <w:sz w:val="21"/>
          <w:szCs w:val="21"/>
        </w:rPr>
        <w:t>The Outbreak Period for John’s election period will end June 30, 2023, which is earlier than July 10, 2023. The one-year rule applies, meaning the 60-day clock resumes on July 1, 2023, and John’s COBRA election period ends on August 30, 2023.  (The July 10,</w:t>
      </w:r>
      <w:r w:rsidRPr="00C16A8D">
        <w:rPr>
          <w:rFonts w:ascii="Arial" w:hAnsi="Arial" w:cs="Arial"/>
          <w:sz w:val="21"/>
          <w:szCs w:val="21"/>
          <w:vertAlign w:val="superscript"/>
        </w:rPr>
        <w:t xml:space="preserve"> </w:t>
      </w:r>
      <w:r w:rsidRPr="00C16A8D">
        <w:rPr>
          <w:rFonts w:ascii="Arial" w:hAnsi="Arial" w:cs="Arial"/>
          <w:sz w:val="21"/>
          <w:szCs w:val="21"/>
        </w:rPr>
        <w:t xml:space="preserve">2023 universal end to the Outbreak Period has no impact on John’s COBRA election period because John already received the full benefit of the one-year suspension prior to July 10, 2023.) </w:t>
      </w:r>
    </w:p>
    <w:p w14:paraId="27A984A2" w14:textId="77777777" w:rsidR="00845B11" w:rsidRPr="00C16A8D" w:rsidRDefault="00845B11" w:rsidP="00845B11">
      <w:pPr>
        <w:pStyle w:val="ListParagraph"/>
        <w:rPr>
          <w:rFonts w:ascii="Arial" w:hAnsi="Arial" w:cs="Arial"/>
          <w:sz w:val="21"/>
          <w:szCs w:val="21"/>
        </w:rPr>
      </w:pPr>
    </w:p>
    <w:p w14:paraId="2D520149" w14:textId="77777777" w:rsidR="00845B11" w:rsidRPr="00C16A8D" w:rsidRDefault="00845B11" w:rsidP="00845B11">
      <w:pPr>
        <w:pStyle w:val="ListParagraph"/>
        <w:numPr>
          <w:ilvl w:val="0"/>
          <w:numId w:val="8"/>
        </w:numPr>
        <w:rPr>
          <w:rFonts w:ascii="Arial" w:hAnsi="Arial" w:cs="Arial"/>
          <w:sz w:val="21"/>
          <w:szCs w:val="21"/>
        </w:rPr>
      </w:pPr>
      <w:r w:rsidRPr="00C16A8D">
        <w:rPr>
          <w:rFonts w:ascii="Arial" w:hAnsi="Arial" w:cs="Arial"/>
          <w:b/>
          <w:bCs/>
          <w:sz w:val="21"/>
          <w:szCs w:val="21"/>
        </w:rPr>
        <w:t>Scenario 2:</w:t>
      </w:r>
      <w:r>
        <w:rPr>
          <w:rFonts w:ascii="Arial" w:hAnsi="Arial" w:cs="Arial"/>
          <w:sz w:val="21"/>
          <w:szCs w:val="21"/>
        </w:rPr>
        <w:t xml:space="preserve"> </w:t>
      </w:r>
      <w:r w:rsidRPr="00C16A8D">
        <w:rPr>
          <w:rFonts w:ascii="Arial" w:hAnsi="Arial" w:cs="Arial"/>
          <w:sz w:val="21"/>
          <w:szCs w:val="21"/>
        </w:rPr>
        <w:t>Adam received an adverse benefit determination on August 1, 2022.  Adam’s 180-day period to appeal was suspended due to the Outbreak Period until the earlier of (</w:t>
      </w:r>
      <w:proofErr w:type="spellStart"/>
      <w:r w:rsidRPr="00C16A8D">
        <w:rPr>
          <w:rFonts w:ascii="Arial" w:hAnsi="Arial" w:cs="Arial"/>
          <w:sz w:val="21"/>
          <w:szCs w:val="21"/>
        </w:rPr>
        <w:t>i</w:t>
      </w:r>
      <w:proofErr w:type="spellEnd"/>
      <w:r w:rsidRPr="00C16A8D">
        <w:rPr>
          <w:rFonts w:ascii="Arial" w:hAnsi="Arial" w:cs="Arial"/>
          <w:sz w:val="21"/>
          <w:szCs w:val="21"/>
        </w:rPr>
        <w:t xml:space="preserve">) </w:t>
      </w:r>
      <w:r w:rsidRPr="00C16A8D">
        <w:rPr>
          <w:rFonts w:ascii="Arial" w:hAnsi="Arial" w:cs="Arial"/>
          <w:sz w:val="21"/>
          <w:szCs w:val="21"/>
        </w:rPr>
        <w:lastRenderedPageBreak/>
        <w:t>one year from August 1, 2022 or (</w:t>
      </w:r>
      <w:proofErr w:type="spellStart"/>
      <w:r w:rsidRPr="00C16A8D">
        <w:rPr>
          <w:rFonts w:ascii="Arial" w:hAnsi="Arial" w:cs="Arial"/>
          <w:sz w:val="21"/>
          <w:szCs w:val="21"/>
        </w:rPr>
        <w:t>i</w:t>
      </w:r>
      <w:proofErr w:type="spellEnd"/>
      <w:r w:rsidRPr="00C16A8D">
        <w:rPr>
          <w:rFonts w:ascii="Arial" w:hAnsi="Arial" w:cs="Arial"/>
          <w:sz w:val="21"/>
          <w:szCs w:val="21"/>
        </w:rPr>
        <w:t xml:space="preserve">) July 10, 2023.   Because July 10, </w:t>
      </w:r>
      <w:proofErr w:type="gramStart"/>
      <w:r w:rsidRPr="00C16A8D">
        <w:rPr>
          <w:rFonts w:ascii="Arial" w:hAnsi="Arial" w:cs="Arial"/>
          <w:sz w:val="21"/>
          <w:szCs w:val="21"/>
        </w:rPr>
        <w:t>2023</w:t>
      </w:r>
      <w:proofErr w:type="gramEnd"/>
      <w:r w:rsidRPr="00C16A8D">
        <w:rPr>
          <w:rFonts w:ascii="Arial" w:hAnsi="Arial" w:cs="Arial"/>
          <w:sz w:val="21"/>
          <w:szCs w:val="21"/>
        </w:rPr>
        <w:t xml:space="preserve"> is earlier, the one-year rule does not apply, and this 180-day time period to appeal resumes on July 11, 2023 (the Outbreak Period expires universally the day before on July 10, 2023).  In other words, day one of the 180-day time period to appeal begins on July 11, </w:t>
      </w:r>
      <w:proofErr w:type="gramStart"/>
      <w:r w:rsidRPr="00C16A8D">
        <w:rPr>
          <w:rFonts w:ascii="Arial" w:hAnsi="Arial" w:cs="Arial"/>
          <w:sz w:val="21"/>
          <w:szCs w:val="21"/>
        </w:rPr>
        <w:t>2023</w:t>
      </w:r>
      <w:proofErr w:type="gramEnd"/>
      <w:r w:rsidRPr="00C16A8D">
        <w:rPr>
          <w:rFonts w:ascii="Arial" w:hAnsi="Arial" w:cs="Arial"/>
          <w:sz w:val="21"/>
          <w:szCs w:val="21"/>
        </w:rPr>
        <w:t xml:space="preserve"> and ends on January 6, 2024.</w:t>
      </w:r>
    </w:p>
    <w:p w14:paraId="3E081D78" w14:textId="77777777" w:rsidR="00845B11" w:rsidRPr="00C16A8D" w:rsidRDefault="00845B11" w:rsidP="00845B11">
      <w:pPr>
        <w:pStyle w:val="ListParagraph"/>
        <w:rPr>
          <w:rFonts w:ascii="Arial" w:hAnsi="Arial" w:cs="Arial"/>
          <w:sz w:val="21"/>
          <w:szCs w:val="21"/>
        </w:rPr>
      </w:pPr>
    </w:p>
    <w:p w14:paraId="585F572A" w14:textId="77777777" w:rsidR="00845B11" w:rsidRPr="00C16A8D" w:rsidRDefault="00845B11" w:rsidP="00845B11">
      <w:pPr>
        <w:pStyle w:val="ListParagraph"/>
        <w:numPr>
          <w:ilvl w:val="0"/>
          <w:numId w:val="8"/>
        </w:numPr>
        <w:rPr>
          <w:rFonts w:ascii="Arial" w:hAnsi="Arial" w:cs="Arial"/>
          <w:sz w:val="21"/>
          <w:szCs w:val="21"/>
        </w:rPr>
      </w:pPr>
      <w:r w:rsidRPr="00C16A8D">
        <w:rPr>
          <w:rFonts w:ascii="Arial" w:hAnsi="Arial" w:cs="Arial"/>
          <w:b/>
          <w:bCs/>
          <w:sz w:val="21"/>
          <w:szCs w:val="21"/>
        </w:rPr>
        <w:t>Scenario 3</w:t>
      </w:r>
      <w:r>
        <w:rPr>
          <w:rFonts w:ascii="Arial" w:hAnsi="Arial" w:cs="Arial"/>
          <w:sz w:val="21"/>
          <w:szCs w:val="21"/>
        </w:rPr>
        <w:t xml:space="preserve">: </w:t>
      </w:r>
      <w:r w:rsidRPr="00C16A8D">
        <w:rPr>
          <w:rFonts w:ascii="Arial" w:hAnsi="Arial" w:cs="Arial"/>
          <w:sz w:val="21"/>
          <w:szCs w:val="21"/>
        </w:rPr>
        <w:t>Allison’s claim was incurred on May 1, 2022.  Allison has one year to file her claim with her group health plan, pursuant to the terms of Allison’s Summary Plan Description.   This one-year timeframe is suspended, beginning May 1, 2022, until the earlier of (</w:t>
      </w:r>
      <w:proofErr w:type="spellStart"/>
      <w:r w:rsidRPr="00C16A8D">
        <w:rPr>
          <w:rFonts w:ascii="Arial" w:hAnsi="Arial" w:cs="Arial"/>
          <w:sz w:val="21"/>
          <w:szCs w:val="21"/>
        </w:rPr>
        <w:t>i</w:t>
      </w:r>
      <w:proofErr w:type="spellEnd"/>
      <w:r w:rsidRPr="00C16A8D">
        <w:rPr>
          <w:rFonts w:ascii="Arial" w:hAnsi="Arial" w:cs="Arial"/>
          <w:sz w:val="21"/>
          <w:szCs w:val="21"/>
        </w:rPr>
        <w:t>) one year from May 1, 2022 or (</w:t>
      </w:r>
      <w:proofErr w:type="spellStart"/>
      <w:r w:rsidRPr="00C16A8D">
        <w:rPr>
          <w:rFonts w:ascii="Arial" w:hAnsi="Arial" w:cs="Arial"/>
          <w:sz w:val="21"/>
          <w:szCs w:val="21"/>
        </w:rPr>
        <w:t>i</w:t>
      </w:r>
      <w:proofErr w:type="spellEnd"/>
      <w:r w:rsidRPr="00C16A8D">
        <w:rPr>
          <w:rFonts w:ascii="Arial" w:hAnsi="Arial" w:cs="Arial"/>
          <w:sz w:val="21"/>
          <w:szCs w:val="21"/>
        </w:rPr>
        <w:t>) July 10, 2023. Since May 1, 2023 is earlier than July 10, 2023, one year period for filing a claim resumes on May 1, 2023.  Accordingly, Allison has until May 1, 2024, to file her claim with her group health plan (The July 10,</w:t>
      </w:r>
      <w:r w:rsidRPr="00C16A8D">
        <w:rPr>
          <w:rFonts w:ascii="Arial" w:hAnsi="Arial" w:cs="Arial"/>
          <w:sz w:val="21"/>
          <w:szCs w:val="21"/>
          <w:vertAlign w:val="superscript"/>
        </w:rPr>
        <w:t xml:space="preserve"> </w:t>
      </w:r>
      <w:r w:rsidRPr="00C16A8D">
        <w:rPr>
          <w:rFonts w:ascii="Arial" w:hAnsi="Arial" w:cs="Arial"/>
          <w:sz w:val="21"/>
          <w:szCs w:val="21"/>
        </w:rPr>
        <w:t xml:space="preserve">2023 universal end to the Outbreak Period has no impact on Allison’s claim filing deadline because Allison already received the full benefit of the one-year suspension prior to July 10, 2023.) </w:t>
      </w:r>
    </w:p>
    <w:p w14:paraId="5C9FC68A" w14:textId="77777777" w:rsidR="00845B11" w:rsidRPr="00C16A8D" w:rsidRDefault="00845B11" w:rsidP="00845B11">
      <w:pPr>
        <w:pStyle w:val="ListParagraph"/>
        <w:rPr>
          <w:rFonts w:ascii="Arial" w:hAnsi="Arial" w:cs="Arial"/>
          <w:sz w:val="21"/>
          <w:szCs w:val="21"/>
        </w:rPr>
      </w:pPr>
    </w:p>
    <w:p w14:paraId="789085A1" w14:textId="77777777" w:rsidR="00845B11" w:rsidRPr="00C16A8D" w:rsidRDefault="00845B11" w:rsidP="00845B11">
      <w:pPr>
        <w:pStyle w:val="ListParagraph"/>
        <w:numPr>
          <w:ilvl w:val="0"/>
          <w:numId w:val="8"/>
        </w:numPr>
        <w:rPr>
          <w:rFonts w:ascii="Arial" w:hAnsi="Arial" w:cs="Arial"/>
          <w:sz w:val="21"/>
          <w:szCs w:val="21"/>
        </w:rPr>
      </w:pPr>
      <w:r w:rsidRPr="00C16A8D">
        <w:rPr>
          <w:rFonts w:ascii="Arial" w:hAnsi="Arial" w:cs="Arial"/>
          <w:b/>
          <w:bCs/>
          <w:sz w:val="21"/>
          <w:szCs w:val="21"/>
        </w:rPr>
        <w:t>Scenario 4</w:t>
      </w:r>
      <w:r>
        <w:rPr>
          <w:rFonts w:ascii="Arial" w:hAnsi="Arial" w:cs="Arial"/>
          <w:sz w:val="21"/>
          <w:szCs w:val="21"/>
        </w:rPr>
        <w:t xml:space="preserve">: </w:t>
      </w:r>
      <w:r w:rsidRPr="00C16A8D">
        <w:rPr>
          <w:rFonts w:ascii="Arial" w:hAnsi="Arial" w:cs="Arial"/>
          <w:sz w:val="21"/>
          <w:szCs w:val="21"/>
        </w:rPr>
        <w:t xml:space="preserve">ABC Company’s Health FSA has a run-out period that ends March 31 (90 days) after the end of each plan year.  The run-out period for the 2021 plan year would have begun January 1, 2022, and ended March 31, 2022, but due to the Outbreak Period, the time period for filing claims during the run-out period was suspended. The Outbreak Period with respect to the 2021 Run-Out Period ended December 31, 2022, which means the 90-day clock for the 2021 run-out period started running again on </w:t>
      </w:r>
      <w:proofErr w:type="gramStart"/>
      <w:r w:rsidRPr="00C16A8D">
        <w:rPr>
          <w:rFonts w:ascii="Arial" w:hAnsi="Arial" w:cs="Arial"/>
          <w:sz w:val="21"/>
          <w:szCs w:val="21"/>
        </w:rPr>
        <w:t>January 1, 2023, and</w:t>
      </w:r>
      <w:proofErr w:type="gramEnd"/>
      <w:r w:rsidRPr="00C16A8D">
        <w:rPr>
          <w:rFonts w:ascii="Arial" w:hAnsi="Arial" w:cs="Arial"/>
          <w:sz w:val="21"/>
          <w:szCs w:val="21"/>
        </w:rPr>
        <w:t xml:space="preserve"> claims for the 2021 plan year must be filed by March 31, 2023.</w:t>
      </w:r>
    </w:p>
    <w:bookmarkEnd w:id="2"/>
    <w:p w14:paraId="2AD33476" w14:textId="1D55F3B5" w:rsidR="008418DA" w:rsidRPr="00E941EF" w:rsidRDefault="008418DA" w:rsidP="00E941EF">
      <w:pPr>
        <w:rPr>
          <w:rFonts w:ascii="Arial" w:hAnsi="Arial" w:cs="Arial"/>
          <w:sz w:val="21"/>
          <w:szCs w:val="21"/>
        </w:rPr>
      </w:pPr>
    </w:p>
    <w:sectPr w:rsidR="008418DA" w:rsidRPr="00E941E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EFF9" w14:textId="77777777" w:rsidR="00D23983" w:rsidRDefault="00D23983" w:rsidP="00932FE6">
      <w:pPr>
        <w:spacing w:after="0" w:line="240" w:lineRule="auto"/>
      </w:pPr>
      <w:r>
        <w:separator/>
      </w:r>
    </w:p>
  </w:endnote>
  <w:endnote w:type="continuationSeparator" w:id="0">
    <w:p w14:paraId="7FE00B8B" w14:textId="77777777" w:rsidR="00D23983" w:rsidRDefault="00D23983" w:rsidP="0093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iDocIDFieldeafbbfa5-6f04-4b8c-9420-ab86"/>
  <w:p w14:paraId="6505FB27" w14:textId="77777777" w:rsidR="00657DC5" w:rsidRDefault="00657DC5">
    <w:pPr>
      <w:pStyle w:val="DocID"/>
    </w:pPr>
    <w:r>
      <w:fldChar w:fldCharType="begin"/>
    </w:r>
    <w:r>
      <w:instrText xml:space="preserve">  DOCPROPERTY "CUS_DocIDChunk0" </w:instrText>
    </w:r>
    <w:r>
      <w:fldChar w:fldCharType="separate"/>
    </w:r>
    <w:r>
      <w:rPr>
        <w:noProof/>
      </w:rPr>
      <w:t>LEGAL02/42691919v1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iDocIDField756284f4-04eb-4107-be57-5d94"/>
  <w:p w14:paraId="4427D167" w14:textId="77777777" w:rsidR="00657DC5" w:rsidRDefault="00657DC5">
    <w:pPr>
      <w:pStyle w:val="DocID"/>
    </w:pPr>
    <w:r>
      <w:fldChar w:fldCharType="begin"/>
    </w:r>
    <w:r>
      <w:instrText xml:space="preserve">  DOCPROPERTY "CUS_DocIDChunk0" </w:instrText>
    </w:r>
    <w:r>
      <w:fldChar w:fldCharType="separate"/>
    </w:r>
    <w:r>
      <w:rPr>
        <w:noProof/>
      </w:rPr>
      <w:t>LEGAL02/42691919v1</w:t>
    </w:r>
    <w:r>
      <w:fldChar w:fldCharType="end"/>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iDocIDFieldab4b4f4d-cb33-483c-af77-4bb4"/>
  <w:p w14:paraId="101D2837" w14:textId="77777777" w:rsidR="00657DC5" w:rsidRDefault="00657DC5">
    <w:pPr>
      <w:pStyle w:val="DocID"/>
    </w:pPr>
    <w:r>
      <w:fldChar w:fldCharType="begin"/>
    </w:r>
    <w:r>
      <w:instrText xml:space="preserve">  DOCPROPERTY "CUS_DocIDChunk0" </w:instrText>
    </w:r>
    <w:r>
      <w:fldChar w:fldCharType="separate"/>
    </w:r>
    <w:r>
      <w:rPr>
        <w:noProof/>
      </w:rPr>
      <w:t>LEGAL02/42691919v1</w:t>
    </w:r>
    <w: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272BC" w14:textId="77777777" w:rsidR="00D23983" w:rsidRDefault="00D23983" w:rsidP="00932FE6">
      <w:pPr>
        <w:spacing w:after="0" w:line="240" w:lineRule="auto"/>
      </w:pPr>
      <w:r>
        <w:separator/>
      </w:r>
    </w:p>
  </w:footnote>
  <w:footnote w:type="continuationSeparator" w:id="0">
    <w:p w14:paraId="1E7D21C1" w14:textId="77777777" w:rsidR="00D23983" w:rsidRDefault="00D23983" w:rsidP="00932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C4FE" w14:textId="77777777" w:rsidR="00932FE6" w:rsidRDefault="00932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A665" w14:textId="77777777" w:rsidR="00932FE6" w:rsidRDefault="00932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9202" w14:textId="77777777" w:rsidR="00932FE6" w:rsidRDefault="00932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4266"/>
    <w:multiLevelType w:val="hybridMultilevel"/>
    <w:tmpl w:val="EE20C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026FF"/>
    <w:multiLevelType w:val="hybridMultilevel"/>
    <w:tmpl w:val="8D68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8206B"/>
    <w:multiLevelType w:val="hybridMultilevel"/>
    <w:tmpl w:val="B39E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A5881"/>
    <w:multiLevelType w:val="hybridMultilevel"/>
    <w:tmpl w:val="4F444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93C4C"/>
    <w:multiLevelType w:val="hybridMultilevel"/>
    <w:tmpl w:val="0358A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216BD"/>
    <w:multiLevelType w:val="hybridMultilevel"/>
    <w:tmpl w:val="2D94F572"/>
    <w:lvl w:ilvl="0" w:tplc="D7A68D74">
      <w:start w:val="1"/>
      <w:numFmt w:val="bullet"/>
      <w:lvlText w:val=""/>
      <w:lvlJc w:val="left"/>
      <w:pPr>
        <w:tabs>
          <w:tab w:val="num" w:pos="720"/>
        </w:tabs>
        <w:ind w:left="720" w:hanging="360"/>
      </w:pPr>
      <w:rPr>
        <w:rFonts w:ascii="Wingdings" w:hAnsi="Wingdings" w:hint="default"/>
      </w:rPr>
    </w:lvl>
    <w:lvl w:ilvl="1" w:tplc="0DFE2B14">
      <w:start w:val="1"/>
      <w:numFmt w:val="bullet"/>
      <w:lvlText w:val=""/>
      <w:lvlJc w:val="left"/>
      <w:pPr>
        <w:tabs>
          <w:tab w:val="num" w:pos="1440"/>
        </w:tabs>
        <w:ind w:left="1440" w:hanging="360"/>
      </w:pPr>
      <w:rPr>
        <w:rFonts w:ascii="Wingdings" w:hAnsi="Wingdings" w:hint="default"/>
      </w:rPr>
    </w:lvl>
    <w:lvl w:ilvl="2" w:tplc="10FCD5A4" w:tentative="1">
      <w:start w:val="1"/>
      <w:numFmt w:val="bullet"/>
      <w:lvlText w:val=""/>
      <w:lvlJc w:val="left"/>
      <w:pPr>
        <w:tabs>
          <w:tab w:val="num" w:pos="2160"/>
        </w:tabs>
        <w:ind w:left="2160" w:hanging="360"/>
      </w:pPr>
      <w:rPr>
        <w:rFonts w:ascii="Wingdings" w:hAnsi="Wingdings" w:hint="default"/>
      </w:rPr>
    </w:lvl>
    <w:lvl w:ilvl="3" w:tplc="A510F316" w:tentative="1">
      <w:start w:val="1"/>
      <w:numFmt w:val="bullet"/>
      <w:lvlText w:val=""/>
      <w:lvlJc w:val="left"/>
      <w:pPr>
        <w:tabs>
          <w:tab w:val="num" w:pos="2880"/>
        </w:tabs>
        <w:ind w:left="2880" w:hanging="360"/>
      </w:pPr>
      <w:rPr>
        <w:rFonts w:ascii="Wingdings" w:hAnsi="Wingdings" w:hint="default"/>
      </w:rPr>
    </w:lvl>
    <w:lvl w:ilvl="4" w:tplc="43B02982" w:tentative="1">
      <w:start w:val="1"/>
      <w:numFmt w:val="bullet"/>
      <w:lvlText w:val=""/>
      <w:lvlJc w:val="left"/>
      <w:pPr>
        <w:tabs>
          <w:tab w:val="num" w:pos="3600"/>
        </w:tabs>
        <w:ind w:left="3600" w:hanging="360"/>
      </w:pPr>
      <w:rPr>
        <w:rFonts w:ascii="Wingdings" w:hAnsi="Wingdings" w:hint="default"/>
      </w:rPr>
    </w:lvl>
    <w:lvl w:ilvl="5" w:tplc="E79CFB06" w:tentative="1">
      <w:start w:val="1"/>
      <w:numFmt w:val="bullet"/>
      <w:lvlText w:val=""/>
      <w:lvlJc w:val="left"/>
      <w:pPr>
        <w:tabs>
          <w:tab w:val="num" w:pos="4320"/>
        </w:tabs>
        <w:ind w:left="4320" w:hanging="360"/>
      </w:pPr>
      <w:rPr>
        <w:rFonts w:ascii="Wingdings" w:hAnsi="Wingdings" w:hint="default"/>
      </w:rPr>
    </w:lvl>
    <w:lvl w:ilvl="6" w:tplc="AB8ED63A" w:tentative="1">
      <w:start w:val="1"/>
      <w:numFmt w:val="bullet"/>
      <w:lvlText w:val=""/>
      <w:lvlJc w:val="left"/>
      <w:pPr>
        <w:tabs>
          <w:tab w:val="num" w:pos="5040"/>
        </w:tabs>
        <w:ind w:left="5040" w:hanging="360"/>
      </w:pPr>
      <w:rPr>
        <w:rFonts w:ascii="Wingdings" w:hAnsi="Wingdings" w:hint="default"/>
      </w:rPr>
    </w:lvl>
    <w:lvl w:ilvl="7" w:tplc="FBBC0168" w:tentative="1">
      <w:start w:val="1"/>
      <w:numFmt w:val="bullet"/>
      <w:lvlText w:val=""/>
      <w:lvlJc w:val="left"/>
      <w:pPr>
        <w:tabs>
          <w:tab w:val="num" w:pos="5760"/>
        </w:tabs>
        <w:ind w:left="5760" w:hanging="360"/>
      </w:pPr>
      <w:rPr>
        <w:rFonts w:ascii="Wingdings" w:hAnsi="Wingdings" w:hint="default"/>
      </w:rPr>
    </w:lvl>
    <w:lvl w:ilvl="8" w:tplc="4AA4E5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98731E"/>
    <w:multiLevelType w:val="hybridMultilevel"/>
    <w:tmpl w:val="3ECC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B73DA"/>
    <w:multiLevelType w:val="multilevel"/>
    <w:tmpl w:val="6CFC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7D1918"/>
    <w:multiLevelType w:val="hybridMultilevel"/>
    <w:tmpl w:val="C15EC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F565F2"/>
    <w:multiLevelType w:val="multilevel"/>
    <w:tmpl w:val="947E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C2568C"/>
    <w:multiLevelType w:val="hybridMultilevel"/>
    <w:tmpl w:val="036CC9C0"/>
    <w:lvl w:ilvl="0" w:tplc="536A8BC8">
      <w:start w:val="1"/>
      <w:numFmt w:val="bullet"/>
      <w:lvlText w:val=""/>
      <w:lvlJc w:val="left"/>
      <w:pPr>
        <w:tabs>
          <w:tab w:val="num" w:pos="720"/>
        </w:tabs>
        <w:ind w:left="720" w:hanging="360"/>
      </w:pPr>
      <w:rPr>
        <w:rFonts w:ascii="Wingdings" w:hAnsi="Wingdings" w:hint="default"/>
      </w:rPr>
    </w:lvl>
    <w:lvl w:ilvl="1" w:tplc="F462DBC4" w:tentative="1">
      <w:start w:val="1"/>
      <w:numFmt w:val="bullet"/>
      <w:lvlText w:val=""/>
      <w:lvlJc w:val="left"/>
      <w:pPr>
        <w:tabs>
          <w:tab w:val="num" w:pos="1440"/>
        </w:tabs>
        <w:ind w:left="1440" w:hanging="360"/>
      </w:pPr>
      <w:rPr>
        <w:rFonts w:ascii="Wingdings" w:hAnsi="Wingdings" w:hint="default"/>
      </w:rPr>
    </w:lvl>
    <w:lvl w:ilvl="2" w:tplc="68E69958" w:tentative="1">
      <w:start w:val="1"/>
      <w:numFmt w:val="bullet"/>
      <w:lvlText w:val=""/>
      <w:lvlJc w:val="left"/>
      <w:pPr>
        <w:tabs>
          <w:tab w:val="num" w:pos="2160"/>
        </w:tabs>
        <w:ind w:left="2160" w:hanging="360"/>
      </w:pPr>
      <w:rPr>
        <w:rFonts w:ascii="Wingdings" w:hAnsi="Wingdings" w:hint="default"/>
      </w:rPr>
    </w:lvl>
    <w:lvl w:ilvl="3" w:tplc="60703D9A" w:tentative="1">
      <w:start w:val="1"/>
      <w:numFmt w:val="bullet"/>
      <w:lvlText w:val=""/>
      <w:lvlJc w:val="left"/>
      <w:pPr>
        <w:tabs>
          <w:tab w:val="num" w:pos="2880"/>
        </w:tabs>
        <w:ind w:left="2880" w:hanging="360"/>
      </w:pPr>
      <w:rPr>
        <w:rFonts w:ascii="Wingdings" w:hAnsi="Wingdings" w:hint="default"/>
      </w:rPr>
    </w:lvl>
    <w:lvl w:ilvl="4" w:tplc="9E72FAF4" w:tentative="1">
      <w:start w:val="1"/>
      <w:numFmt w:val="bullet"/>
      <w:lvlText w:val=""/>
      <w:lvlJc w:val="left"/>
      <w:pPr>
        <w:tabs>
          <w:tab w:val="num" w:pos="3600"/>
        </w:tabs>
        <w:ind w:left="3600" w:hanging="360"/>
      </w:pPr>
      <w:rPr>
        <w:rFonts w:ascii="Wingdings" w:hAnsi="Wingdings" w:hint="default"/>
      </w:rPr>
    </w:lvl>
    <w:lvl w:ilvl="5" w:tplc="19C4B250" w:tentative="1">
      <w:start w:val="1"/>
      <w:numFmt w:val="bullet"/>
      <w:lvlText w:val=""/>
      <w:lvlJc w:val="left"/>
      <w:pPr>
        <w:tabs>
          <w:tab w:val="num" w:pos="4320"/>
        </w:tabs>
        <w:ind w:left="4320" w:hanging="360"/>
      </w:pPr>
      <w:rPr>
        <w:rFonts w:ascii="Wingdings" w:hAnsi="Wingdings" w:hint="default"/>
      </w:rPr>
    </w:lvl>
    <w:lvl w:ilvl="6" w:tplc="29805CD0" w:tentative="1">
      <w:start w:val="1"/>
      <w:numFmt w:val="bullet"/>
      <w:lvlText w:val=""/>
      <w:lvlJc w:val="left"/>
      <w:pPr>
        <w:tabs>
          <w:tab w:val="num" w:pos="5040"/>
        </w:tabs>
        <w:ind w:left="5040" w:hanging="360"/>
      </w:pPr>
      <w:rPr>
        <w:rFonts w:ascii="Wingdings" w:hAnsi="Wingdings" w:hint="default"/>
      </w:rPr>
    </w:lvl>
    <w:lvl w:ilvl="7" w:tplc="FC1A21F6" w:tentative="1">
      <w:start w:val="1"/>
      <w:numFmt w:val="bullet"/>
      <w:lvlText w:val=""/>
      <w:lvlJc w:val="left"/>
      <w:pPr>
        <w:tabs>
          <w:tab w:val="num" w:pos="5760"/>
        </w:tabs>
        <w:ind w:left="5760" w:hanging="360"/>
      </w:pPr>
      <w:rPr>
        <w:rFonts w:ascii="Wingdings" w:hAnsi="Wingdings" w:hint="default"/>
      </w:rPr>
    </w:lvl>
    <w:lvl w:ilvl="8" w:tplc="30881C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6F32E6"/>
    <w:multiLevelType w:val="hybridMultilevel"/>
    <w:tmpl w:val="FC586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D3912"/>
    <w:multiLevelType w:val="hybridMultilevel"/>
    <w:tmpl w:val="562E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E4430"/>
    <w:multiLevelType w:val="hybridMultilevel"/>
    <w:tmpl w:val="D4BE0E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347185"/>
    <w:multiLevelType w:val="hybridMultilevel"/>
    <w:tmpl w:val="8E4C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B64AD"/>
    <w:multiLevelType w:val="hybridMultilevel"/>
    <w:tmpl w:val="12824196"/>
    <w:lvl w:ilvl="0" w:tplc="9F52B61E">
      <w:start w:val="1"/>
      <w:numFmt w:val="bullet"/>
      <w:lvlText w:val=""/>
      <w:lvlJc w:val="left"/>
      <w:pPr>
        <w:tabs>
          <w:tab w:val="num" w:pos="720"/>
        </w:tabs>
        <w:ind w:left="720" w:hanging="360"/>
      </w:pPr>
      <w:rPr>
        <w:rFonts w:ascii="Wingdings" w:hAnsi="Wingdings" w:hint="default"/>
      </w:rPr>
    </w:lvl>
    <w:lvl w:ilvl="1" w:tplc="339089DA" w:tentative="1">
      <w:start w:val="1"/>
      <w:numFmt w:val="bullet"/>
      <w:lvlText w:val=""/>
      <w:lvlJc w:val="left"/>
      <w:pPr>
        <w:tabs>
          <w:tab w:val="num" w:pos="1440"/>
        </w:tabs>
        <w:ind w:left="1440" w:hanging="360"/>
      </w:pPr>
      <w:rPr>
        <w:rFonts w:ascii="Wingdings" w:hAnsi="Wingdings" w:hint="default"/>
      </w:rPr>
    </w:lvl>
    <w:lvl w:ilvl="2" w:tplc="D96483F4" w:tentative="1">
      <w:start w:val="1"/>
      <w:numFmt w:val="bullet"/>
      <w:lvlText w:val=""/>
      <w:lvlJc w:val="left"/>
      <w:pPr>
        <w:tabs>
          <w:tab w:val="num" w:pos="2160"/>
        </w:tabs>
        <w:ind w:left="2160" w:hanging="360"/>
      </w:pPr>
      <w:rPr>
        <w:rFonts w:ascii="Wingdings" w:hAnsi="Wingdings" w:hint="default"/>
      </w:rPr>
    </w:lvl>
    <w:lvl w:ilvl="3" w:tplc="B80C491C" w:tentative="1">
      <w:start w:val="1"/>
      <w:numFmt w:val="bullet"/>
      <w:lvlText w:val=""/>
      <w:lvlJc w:val="left"/>
      <w:pPr>
        <w:tabs>
          <w:tab w:val="num" w:pos="2880"/>
        </w:tabs>
        <w:ind w:left="2880" w:hanging="360"/>
      </w:pPr>
      <w:rPr>
        <w:rFonts w:ascii="Wingdings" w:hAnsi="Wingdings" w:hint="default"/>
      </w:rPr>
    </w:lvl>
    <w:lvl w:ilvl="4" w:tplc="07A80AB8" w:tentative="1">
      <w:start w:val="1"/>
      <w:numFmt w:val="bullet"/>
      <w:lvlText w:val=""/>
      <w:lvlJc w:val="left"/>
      <w:pPr>
        <w:tabs>
          <w:tab w:val="num" w:pos="3600"/>
        </w:tabs>
        <w:ind w:left="3600" w:hanging="360"/>
      </w:pPr>
      <w:rPr>
        <w:rFonts w:ascii="Wingdings" w:hAnsi="Wingdings" w:hint="default"/>
      </w:rPr>
    </w:lvl>
    <w:lvl w:ilvl="5" w:tplc="BA3C024C" w:tentative="1">
      <w:start w:val="1"/>
      <w:numFmt w:val="bullet"/>
      <w:lvlText w:val=""/>
      <w:lvlJc w:val="left"/>
      <w:pPr>
        <w:tabs>
          <w:tab w:val="num" w:pos="4320"/>
        </w:tabs>
        <w:ind w:left="4320" w:hanging="360"/>
      </w:pPr>
      <w:rPr>
        <w:rFonts w:ascii="Wingdings" w:hAnsi="Wingdings" w:hint="default"/>
      </w:rPr>
    </w:lvl>
    <w:lvl w:ilvl="6" w:tplc="83DC1094" w:tentative="1">
      <w:start w:val="1"/>
      <w:numFmt w:val="bullet"/>
      <w:lvlText w:val=""/>
      <w:lvlJc w:val="left"/>
      <w:pPr>
        <w:tabs>
          <w:tab w:val="num" w:pos="5040"/>
        </w:tabs>
        <w:ind w:left="5040" w:hanging="360"/>
      </w:pPr>
      <w:rPr>
        <w:rFonts w:ascii="Wingdings" w:hAnsi="Wingdings" w:hint="default"/>
      </w:rPr>
    </w:lvl>
    <w:lvl w:ilvl="7" w:tplc="7562B032" w:tentative="1">
      <w:start w:val="1"/>
      <w:numFmt w:val="bullet"/>
      <w:lvlText w:val=""/>
      <w:lvlJc w:val="left"/>
      <w:pPr>
        <w:tabs>
          <w:tab w:val="num" w:pos="5760"/>
        </w:tabs>
        <w:ind w:left="5760" w:hanging="360"/>
      </w:pPr>
      <w:rPr>
        <w:rFonts w:ascii="Wingdings" w:hAnsi="Wingdings" w:hint="default"/>
      </w:rPr>
    </w:lvl>
    <w:lvl w:ilvl="8" w:tplc="21EA5E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1489D"/>
    <w:multiLevelType w:val="hybridMultilevel"/>
    <w:tmpl w:val="E3724DFC"/>
    <w:lvl w:ilvl="0" w:tplc="5672D826">
      <w:start w:val="1"/>
      <w:numFmt w:val="bullet"/>
      <w:lvlText w:val=""/>
      <w:lvlJc w:val="left"/>
      <w:pPr>
        <w:tabs>
          <w:tab w:val="num" w:pos="720"/>
        </w:tabs>
        <w:ind w:left="720" w:hanging="360"/>
      </w:pPr>
      <w:rPr>
        <w:rFonts w:ascii="Wingdings" w:hAnsi="Wingdings" w:hint="default"/>
      </w:rPr>
    </w:lvl>
    <w:lvl w:ilvl="1" w:tplc="AB1026A4" w:tentative="1">
      <w:start w:val="1"/>
      <w:numFmt w:val="bullet"/>
      <w:lvlText w:val=""/>
      <w:lvlJc w:val="left"/>
      <w:pPr>
        <w:tabs>
          <w:tab w:val="num" w:pos="1440"/>
        </w:tabs>
        <w:ind w:left="1440" w:hanging="360"/>
      </w:pPr>
      <w:rPr>
        <w:rFonts w:ascii="Wingdings" w:hAnsi="Wingdings" w:hint="default"/>
      </w:rPr>
    </w:lvl>
    <w:lvl w:ilvl="2" w:tplc="DA047DEA" w:tentative="1">
      <w:start w:val="1"/>
      <w:numFmt w:val="bullet"/>
      <w:lvlText w:val=""/>
      <w:lvlJc w:val="left"/>
      <w:pPr>
        <w:tabs>
          <w:tab w:val="num" w:pos="2160"/>
        </w:tabs>
        <w:ind w:left="2160" w:hanging="360"/>
      </w:pPr>
      <w:rPr>
        <w:rFonts w:ascii="Wingdings" w:hAnsi="Wingdings" w:hint="default"/>
      </w:rPr>
    </w:lvl>
    <w:lvl w:ilvl="3" w:tplc="1114B204" w:tentative="1">
      <w:start w:val="1"/>
      <w:numFmt w:val="bullet"/>
      <w:lvlText w:val=""/>
      <w:lvlJc w:val="left"/>
      <w:pPr>
        <w:tabs>
          <w:tab w:val="num" w:pos="2880"/>
        </w:tabs>
        <w:ind w:left="2880" w:hanging="360"/>
      </w:pPr>
      <w:rPr>
        <w:rFonts w:ascii="Wingdings" w:hAnsi="Wingdings" w:hint="default"/>
      </w:rPr>
    </w:lvl>
    <w:lvl w:ilvl="4" w:tplc="DAC4163A" w:tentative="1">
      <w:start w:val="1"/>
      <w:numFmt w:val="bullet"/>
      <w:lvlText w:val=""/>
      <w:lvlJc w:val="left"/>
      <w:pPr>
        <w:tabs>
          <w:tab w:val="num" w:pos="3600"/>
        </w:tabs>
        <w:ind w:left="3600" w:hanging="360"/>
      </w:pPr>
      <w:rPr>
        <w:rFonts w:ascii="Wingdings" w:hAnsi="Wingdings" w:hint="default"/>
      </w:rPr>
    </w:lvl>
    <w:lvl w:ilvl="5" w:tplc="0DA8480C" w:tentative="1">
      <w:start w:val="1"/>
      <w:numFmt w:val="bullet"/>
      <w:lvlText w:val=""/>
      <w:lvlJc w:val="left"/>
      <w:pPr>
        <w:tabs>
          <w:tab w:val="num" w:pos="4320"/>
        </w:tabs>
        <w:ind w:left="4320" w:hanging="360"/>
      </w:pPr>
      <w:rPr>
        <w:rFonts w:ascii="Wingdings" w:hAnsi="Wingdings" w:hint="default"/>
      </w:rPr>
    </w:lvl>
    <w:lvl w:ilvl="6" w:tplc="52248D7E" w:tentative="1">
      <w:start w:val="1"/>
      <w:numFmt w:val="bullet"/>
      <w:lvlText w:val=""/>
      <w:lvlJc w:val="left"/>
      <w:pPr>
        <w:tabs>
          <w:tab w:val="num" w:pos="5040"/>
        </w:tabs>
        <w:ind w:left="5040" w:hanging="360"/>
      </w:pPr>
      <w:rPr>
        <w:rFonts w:ascii="Wingdings" w:hAnsi="Wingdings" w:hint="default"/>
      </w:rPr>
    </w:lvl>
    <w:lvl w:ilvl="7" w:tplc="A73C24A8" w:tentative="1">
      <w:start w:val="1"/>
      <w:numFmt w:val="bullet"/>
      <w:lvlText w:val=""/>
      <w:lvlJc w:val="left"/>
      <w:pPr>
        <w:tabs>
          <w:tab w:val="num" w:pos="5760"/>
        </w:tabs>
        <w:ind w:left="5760" w:hanging="360"/>
      </w:pPr>
      <w:rPr>
        <w:rFonts w:ascii="Wingdings" w:hAnsi="Wingdings" w:hint="default"/>
      </w:rPr>
    </w:lvl>
    <w:lvl w:ilvl="8" w:tplc="9528878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95519C"/>
    <w:multiLevelType w:val="hybridMultilevel"/>
    <w:tmpl w:val="66600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7"/>
  </w:num>
  <w:num w:numId="4">
    <w:abstractNumId w:val="9"/>
  </w:num>
  <w:num w:numId="5">
    <w:abstractNumId w:val="1"/>
  </w:num>
  <w:num w:numId="6">
    <w:abstractNumId w:val="5"/>
  </w:num>
  <w:num w:numId="7">
    <w:abstractNumId w:val="15"/>
  </w:num>
  <w:num w:numId="8">
    <w:abstractNumId w:val="6"/>
  </w:num>
  <w:num w:numId="9">
    <w:abstractNumId w:val="16"/>
  </w:num>
  <w:num w:numId="10">
    <w:abstractNumId w:val="10"/>
  </w:num>
  <w:num w:numId="11">
    <w:abstractNumId w:val="0"/>
  </w:num>
  <w:num w:numId="12">
    <w:abstractNumId w:val="2"/>
  </w:num>
  <w:num w:numId="13">
    <w:abstractNumId w:val="4"/>
  </w:num>
  <w:num w:numId="14">
    <w:abstractNumId w:val="17"/>
  </w:num>
  <w:num w:numId="15">
    <w:abstractNumId w:val="13"/>
  </w:num>
  <w:num w:numId="16">
    <w:abstractNumId w:val="8"/>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03"/>
    <w:rsid w:val="00034F4D"/>
    <w:rsid w:val="000602BD"/>
    <w:rsid w:val="000655C7"/>
    <w:rsid w:val="00067E18"/>
    <w:rsid w:val="000706A7"/>
    <w:rsid w:val="00096B28"/>
    <w:rsid w:val="000D0E0B"/>
    <w:rsid w:val="00113303"/>
    <w:rsid w:val="00114419"/>
    <w:rsid w:val="00171361"/>
    <w:rsid w:val="00176ECA"/>
    <w:rsid w:val="0019489B"/>
    <w:rsid w:val="001E5CAF"/>
    <w:rsid w:val="001F15BE"/>
    <w:rsid w:val="001F21AB"/>
    <w:rsid w:val="001F6846"/>
    <w:rsid w:val="002062AB"/>
    <w:rsid w:val="002156E8"/>
    <w:rsid w:val="00222138"/>
    <w:rsid w:val="0023141F"/>
    <w:rsid w:val="00234DE3"/>
    <w:rsid w:val="0024028C"/>
    <w:rsid w:val="00256483"/>
    <w:rsid w:val="00274B78"/>
    <w:rsid w:val="002B2DE0"/>
    <w:rsid w:val="002D164B"/>
    <w:rsid w:val="002D78DB"/>
    <w:rsid w:val="002E7270"/>
    <w:rsid w:val="003477CA"/>
    <w:rsid w:val="00360961"/>
    <w:rsid w:val="003C743F"/>
    <w:rsid w:val="003D77A0"/>
    <w:rsid w:val="003F726A"/>
    <w:rsid w:val="00426162"/>
    <w:rsid w:val="00426B50"/>
    <w:rsid w:val="004358B8"/>
    <w:rsid w:val="004A17F3"/>
    <w:rsid w:val="004A2419"/>
    <w:rsid w:val="004A4422"/>
    <w:rsid w:val="004A789F"/>
    <w:rsid w:val="004B25EC"/>
    <w:rsid w:val="004B35A6"/>
    <w:rsid w:val="004B63F0"/>
    <w:rsid w:val="004C591A"/>
    <w:rsid w:val="004D1CB5"/>
    <w:rsid w:val="004D3654"/>
    <w:rsid w:val="004E3F4A"/>
    <w:rsid w:val="004E5B15"/>
    <w:rsid w:val="004F0C06"/>
    <w:rsid w:val="005002A8"/>
    <w:rsid w:val="00541037"/>
    <w:rsid w:val="005928C0"/>
    <w:rsid w:val="005A1358"/>
    <w:rsid w:val="005C2C8B"/>
    <w:rsid w:val="005C7579"/>
    <w:rsid w:val="0060461B"/>
    <w:rsid w:val="00612924"/>
    <w:rsid w:val="00657DC5"/>
    <w:rsid w:val="006623B6"/>
    <w:rsid w:val="00690B28"/>
    <w:rsid w:val="006C2A26"/>
    <w:rsid w:val="00707076"/>
    <w:rsid w:val="00713A9A"/>
    <w:rsid w:val="007810A6"/>
    <w:rsid w:val="007C60D4"/>
    <w:rsid w:val="007D0DA5"/>
    <w:rsid w:val="007E661B"/>
    <w:rsid w:val="00823E35"/>
    <w:rsid w:val="00830CA7"/>
    <w:rsid w:val="00837DE2"/>
    <w:rsid w:val="008418DA"/>
    <w:rsid w:val="00845454"/>
    <w:rsid w:val="00845B11"/>
    <w:rsid w:val="00854155"/>
    <w:rsid w:val="008609B7"/>
    <w:rsid w:val="00863820"/>
    <w:rsid w:val="0086567F"/>
    <w:rsid w:val="008663F3"/>
    <w:rsid w:val="00870FD3"/>
    <w:rsid w:val="0087595B"/>
    <w:rsid w:val="008A0F72"/>
    <w:rsid w:val="00900735"/>
    <w:rsid w:val="00920B3C"/>
    <w:rsid w:val="00923232"/>
    <w:rsid w:val="00932FE6"/>
    <w:rsid w:val="0093431C"/>
    <w:rsid w:val="009434BC"/>
    <w:rsid w:val="00952D91"/>
    <w:rsid w:val="00957BA3"/>
    <w:rsid w:val="0098029F"/>
    <w:rsid w:val="00990E72"/>
    <w:rsid w:val="009B29A9"/>
    <w:rsid w:val="009B5411"/>
    <w:rsid w:val="009B7392"/>
    <w:rsid w:val="009D6C1B"/>
    <w:rsid w:val="00A166E6"/>
    <w:rsid w:val="00A37017"/>
    <w:rsid w:val="00AA4368"/>
    <w:rsid w:val="00AB1716"/>
    <w:rsid w:val="00AF18EB"/>
    <w:rsid w:val="00B23DAC"/>
    <w:rsid w:val="00B26CA8"/>
    <w:rsid w:val="00B371D0"/>
    <w:rsid w:val="00B451D4"/>
    <w:rsid w:val="00B74749"/>
    <w:rsid w:val="00B809CE"/>
    <w:rsid w:val="00BA511B"/>
    <w:rsid w:val="00BB3EE0"/>
    <w:rsid w:val="00BF19B2"/>
    <w:rsid w:val="00BF782B"/>
    <w:rsid w:val="00C14BC7"/>
    <w:rsid w:val="00C26B34"/>
    <w:rsid w:val="00C279E1"/>
    <w:rsid w:val="00C330D9"/>
    <w:rsid w:val="00C404DD"/>
    <w:rsid w:val="00C5101A"/>
    <w:rsid w:val="00C676D2"/>
    <w:rsid w:val="00C75563"/>
    <w:rsid w:val="00C9597E"/>
    <w:rsid w:val="00CA416E"/>
    <w:rsid w:val="00CB2A96"/>
    <w:rsid w:val="00CD0241"/>
    <w:rsid w:val="00CE4C7E"/>
    <w:rsid w:val="00CE757D"/>
    <w:rsid w:val="00CF446D"/>
    <w:rsid w:val="00D06C16"/>
    <w:rsid w:val="00D1513E"/>
    <w:rsid w:val="00D23983"/>
    <w:rsid w:val="00D365C5"/>
    <w:rsid w:val="00D43A26"/>
    <w:rsid w:val="00D479CC"/>
    <w:rsid w:val="00D84797"/>
    <w:rsid w:val="00D91EDB"/>
    <w:rsid w:val="00DC28E8"/>
    <w:rsid w:val="00DD39DE"/>
    <w:rsid w:val="00DD46DA"/>
    <w:rsid w:val="00DD6F4D"/>
    <w:rsid w:val="00DF37BC"/>
    <w:rsid w:val="00DF61DA"/>
    <w:rsid w:val="00DF6AA8"/>
    <w:rsid w:val="00E15F07"/>
    <w:rsid w:val="00E44B35"/>
    <w:rsid w:val="00E941EF"/>
    <w:rsid w:val="00EB32FB"/>
    <w:rsid w:val="00EB36D7"/>
    <w:rsid w:val="00ED3616"/>
    <w:rsid w:val="00EE7A78"/>
    <w:rsid w:val="00EE7BF3"/>
    <w:rsid w:val="00F01C21"/>
    <w:rsid w:val="00F20798"/>
    <w:rsid w:val="00F42D7D"/>
    <w:rsid w:val="00F43AD4"/>
    <w:rsid w:val="00F62E00"/>
    <w:rsid w:val="00FA66FA"/>
    <w:rsid w:val="00FE0AD7"/>
    <w:rsid w:val="00F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14C7"/>
  <w15:chartTrackingRefBased/>
  <w15:docId w15:val="{EC5E4A69-1582-43A5-ACB0-505003DC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1D4"/>
    <w:pPr>
      <w:ind w:left="720"/>
      <w:contextualSpacing/>
    </w:pPr>
  </w:style>
  <w:style w:type="paragraph" w:styleId="NormalWeb">
    <w:name w:val="Normal (Web)"/>
    <w:basedOn w:val="Normal"/>
    <w:uiPriority w:val="99"/>
    <w:unhideWhenUsed/>
    <w:rsid w:val="00990E72"/>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0655C7"/>
    <w:rPr>
      <w:sz w:val="16"/>
      <w:szCs w:val="16"/>
    </w:rPr>
  </w:style>
  <w:style w:type="paragraph" w:styleId="CommentText">
    <w:name w:val="annotation text"/>
    <w:basedOn w:val="Normal"/>
    <w:link w:val="CommentTextChar"/>
    <w:uiPriority w:val="99"/>
    <w:semiHidden/>
    <w:unhideWhenUsed/>
    <w:rsid w:val="000655C7"/>
    <w:pPr>
      <w:spacing w:line="240" w:lineRule="auto"/>
    </w:pPr>
    <w:rPr>
      <w:sz w:val="20"/>
      <w:szCs w:val="20"/>
    </w:rPr>
  </w:style>
  <w:style w:type="character" w:customStyle="1" w:styleId="CommentTextChar">
    <w:name w:val="Comment Text Char"/>
    <w:basedOn w:val="DefaultParagraphFont"/>
    <w:link w:val="CommentText"/>
    <w:uiPriority w:val="99"/>
    <w:semiHidden/>
    <w:rsid w:val="000655C7"/>
    <w:rPr>
      <w:sz w:val="20"/>
      <w:szCs w:val="20"/>
    </w:rPr>
  </w:style>
  <w:style w:type="paragraph" w:styleId="CommentSubject">
    <w:name w:val="annotation subject"/>
    <w:basedOn w:val="CommentText"/>
    <w:next w:val="CommentText"/>
    <w:link w:val="CommentSubjectChar"/>
    <w:uiPriority w:val="99"/>
    <w:semiHidden/>
    <w:unhideWhenUsed/>
    <w:rsid w:val="000655C7"/>
    <w:rPr>
      <w:b/>
      <w:bCs/>
    </w:rPr>
  </w:style>
  <w:style w:type="character" w:customStyle="1" w:styleId="CommentSubjectChar">
    <w:name w:val="Comment Subject Char"/>
    <w:basedOn w:val="CommentTextChar"/>
    <w:link w:val="CommentSubject"/>
    <w:uiPriority w:val="99"/>
    <w:semiHidden/>
    <w:rsid w:val="000655C7"/>
    <w:rPr>
      <w:b/>
      <w:bCs/>
      <w:sz w:val="20"/>
      <w:szCs w:val="20"/>
    </w:rPr>
  </w:style>
  <w:style w:type="paragraph" w:styleId="Revision">
    <w:name w:val="Revision"/>
    <w:hidden/>
    <w:uiPriority w:val="99"/>
    <w:semiHidden/>
    <w:rsid w:val="009434BC"/>
    <w:pPr>
      <w:spacing w:after="0" w:line="240" w:lineRule="auto"/>
    </w:pPr>
  </w:style>
  <w:style w:type="paragraph" w:customStyle="1" w:styleId="DocID">
    <w:name w:val="DocID"/>
    <w:basedOn w:val="Footer"/>
    <w:next w:val="Footer"/>
    <w:link w:val="DocIDChar"/>
    <w:rsid w:val="00932FE6"/>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932FE6"/>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932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FE6"/>
  </w:style>
  <w:style w:type="paragraph" w:styleId="Header">
    <w:name w:val="header"/>
    <w:basedOn w:val="Normal"/>
    <w:link w:val="HeaderChar"/>
    <w:uiPriority w:val="99"/>
    <w:unhideWhenUsed/>
    <w:rsid w:val="00932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74927">
      <w:bodyDiv w:val="1"/>
      <w:marLeft w:val="0"/>
      <w:marRight w:val="0"/>
      <w:marTop w:val="0"/>
      <w:marBottom w:val="0"/>
      <w:divBdr>
        <w:top w:val="none" w:sz="0" w:space="0" w:color="auto"/>
        <w:left w:val="none" w:sz="0" w:space="0" w:color="auto"/>
        <w:bottom w:val="none" w:sz="0" w:space="0" w:color="auto"/>
        <w:right w:val="none" w:sz="0" w:space="0" w:color="auto"/>
      </w:divBdr>
    </w:div>
    <w:div w:id="438912137">
      <w:bodyDiv w:val="1"/>
      <w:marLeft w:val="0"/>
      <w:marRight w:val="0"/>
      <w:marTop w:val="0"/>
      <w:marBottom w:val="0"/>
      <w:divBdr>
        <w:top w:val="none" w:sz="0" w:space="0" w:color="auto"/>
        <w:left w:val="none" w:sz="0" w:space="0" w:color="auto"/>
        <w:bottom w:val="none" w:sz="0" w:space="0" w:color="auto"/>
        <w:right w:val="none" w:sz="0" w:space="0" w:color="auto"/>
      </w:divBdr>
      <w:divsChild>
        <w:div w:id="434524016">
          <w:marLeft w:val="1253"/>
          <w:marRight w:val="0"/>
          <w:marTop w:val="100"/>
          <w:marBottom w:val="0"/>
          <w:divBdr>
            <w:top w:val="none" w:sz="0" w:space="0" w:color="auto"/>
            <w:left w:val="none" w:sz="0" w:space="0" w:color="auto"/>
            <w:bottom w:val="none" w:sz="0" w:space="0" w:color="auto"/>
            <w:right w:val="none" w:sz="0" w:space="0" w:color="auto"/>
          </w:divBdr>
        </w:div>
      </w:divsChild>
    </w:div>
    <w:div w:id="512064825">
      <w:bodyDiv w:val="1"/>
      <w:marLeft w:val="0"/>
      <w:marRight w:val="0"/>
      <w:marTop w:val="0"/>
      <w:marBottom w:val="0"/>
      <w:divBdr>
        <w:top w:val="none" w:sz="0" w:space="0" w:color="auto"/>
        <w:left w:val="none" w:sz="0" w:space="0" w:color="auto"/>
        <w:bottom w:val="none" w:sz="0" w:space="0" w:color="auto"/>
        <w:right w:val="none" w:sz="0" w:space="0" w:color="auto"/>
      </w:divBdr>
      <w:divsChild>
        <w:div w:id="1882356819">
          <w:marLeft w:val="1253"/>
          <w:marRight w:val="0"/>
          <w:marTop w:val="100"/>
          <w:marBottom w:val="0"/>
          <w:divBdr>
            <w:top w:val="none" w:sz="0" w:space="0" w:color="auto"/>
            <w:left w:val="none" w:sz="0" w:space="0" w:color="auto"/>
            <w:bottom w:val="none" w:sz="0" w:space="0" w:color="auto"/>
            <w:right w:val="none" w:sz="0" w:space="0" w:color="auto"/>
          </w:divBdr>
        </w:div>
      </w:divsChild>
    </w:div>
    <w:div w:id="1001854282">
      <w:bodyDiv w:val="1"/>
      <w:marLeft w:val="0"/>
      <w:marRight w:val="0"/>
      <w:marTop w:val="0"/>
      <w:marBottom w:val="0"/>
      <w:divBdr>
        <w:top w:val="none" w:sz="0" w:space="0" w:color="auto"/>
        <w:left w:val="none" w:sz="0" w:space="0" w:color="auto"/>
        <w:bottom w:val="none" w:sz="0" w:space="0" w:color="auto"/>
        <w:right w:val="none" w:sz="0" w:space="0" w:color="auto"/>
      </w:divBdr>
    </w:div>
    <w:div w:id="1202862874">
      <w:bodyDiv w:val="1"/>
      <w:marLeft w:val="0"/>
      <w:marRight w:val="0"/>
      <w:marTop w:val="0"/>
      <w:marBottom w:val="0"/>
      <w:divBdr>
        <w:top w:val="none" w:sz="0" w:space="0" w:color="auto"/>
        <w:left w:val="none" w:sz="0" w:space="0" w:color="auto"/>
        <w:bottom w:val="none" w:sz="0" w:space="0" w:color="auto"/>
        <w:right w:val="none" w:sz="0" w:space="0" w:color="auto"/>
      </w:divBdr>
      <w:divsChild>
        <w:div w:id="1399674014">
          <w:marLeft w:val="720"/>
          <w:marRight w:val="0"/>
          <w:marTop w:val="200"/>
          <w:marBottom w:val="0"/>
          <w:divBdr>
            <w:top w:val="none" w:sz="0" w:space="0" w:color="auto"/>
            <w:left w:val="none" w:sz="0" w:space="0" w:color="auto"/>
            <w:bottom w:val="none" w:sz="0" w:space="0" w:color="auto"/>
            <w:right w:val="none" w:sz="0" w:space="0" w:color="auto"/>
          </w:divBdr>
        </w:div>
        <w:div w:id="170335876">
          <w:marLeft w:val="720"/>
          <w:marRight w:val="0"/>
          <w:marTop w:val="200"/>
          <w:marBottom w:val="0"/>
          <w:divBdr>
            <w:top w:val="none" w:sz="0" w:space="0" w:color="auto"/>
            <w:left w:val="none" w:sz="0" w:space="0" w:color="auto"/>
            <w:bottom w:val="none" w:sz="0" w:space="0" w:color="auto"/>
            <w:right w:val="none" w:sz="0" w:space="0" w:color="auto"/>
          </w:divBdr>
        </w:div>
      </w:divsChild>
    </w:div>
    <w:div w:id="1382168826">
      <w:bodyDiv w:val="1"/>
      <w:marLeft w:val="0"/>
      <w:marRight w:val="0"/>
      <w:marTop w:val="0"/>
      <w:marBottom w:val="0"/>
      <w:divBdr>
        <w:top w:val="none" w:sz="0" w:space="0" w:color="auto"/>
        <w:left w:val="none" w:sz="0" w:space="0" w:color="auto"/>
        <w:bottom w:val="none" w:sz="0" w:space="0" w:color="auto"/>
        <w:right w:val="none" w:sz="0" w:space="0" w:color="auto"/>
      </w:divBdr>
      <w:divsChild>
        <w:div w:id="2125419415">
          <w:marLeft w:val="720"/>
          <w:marRight w:val="0"/>
          <w:marTop w:val="200"/>
          <w:marBottom w:val="0"/>
          <w:divBdr>
            <w:top w:val="none" w:sz="0" w:space="0" w:color="auto"/>
            <w:left w:val="none" w:sz="0" w:space="0" w:color="auto"/>
            <w:bottom w:val="none" w:sz="0" w:space="0" w:color="auto"/>
            <w:right w:val="none" w:sz="0" w:space="0" w:color="auto"/>
          </w:divBdr>
        </w:div>
        <w:div w:id="794255572">
          <w:marLeft w:val="720"/>
          <w:marRight w:val="0"/>
          <w:marTop w:val="200"/>
          <w:marBottom w:val="0"/>
          <w:divBdr>
            <w:top w:val="none" w:sz="0" w:space="0" w:color="auto"/>
            <w:left w:val="none" w:sz="0" w:space="0" w:color="auto"/>
            <w:bottom w:val="none" w:sz="0" w:space="0" w:color="auto"/>
            <w:right w:val="none" w:sz="0" w:space="0" w:color="auto"/>
          </w:divBdr>
        </w:div>
        <w:div w:id="914247604">
          <w:marLeft w:val="720"/>
          <w:marRight w:val="0"/>
          <w:marTop w:val="200"/>
          <w:marBottom w:val="0"/>
          <w:divBdr>
            <w:top w:val="none" w:sz="0" w:space="0" w:color="auto"/>
            <w:left w:val="none" w:sz="0" w:space="0" w:color="auto"/>
            <w:bottom w:val="none" w:sz="0" w:space="0" w:color="auto"/>
            <w:right w:val="none" w:sz="0" w:space="0" w:color="auto"/>
          </w:divBdr>
        </w:div>
      </w:divsChild>
    </w:div>
    <w:div w:id="1438023234">
      <w:bodyDiv w:val="1"/>
      <w:marLeft w:val="0"/>
      <w:marRight w:val="0"/>
      <w:marTop w:val="0"/>
      <w:marBottom w:val="0"/>
      <w:divBdr>
        <w:top w:val="none" w:sz="0" w:space="0" w:color="auto"/>
        <w:left w:val="none" w:sz="0" w:space="0" w:color="auto"/>
        <w:bottom w:val="none" w:sz="0" w:space="0" w:color="auto"/>
        <w:right w:val="none" w:sz="0" w:space="0" w:color="auto"/>
      </w:divBdr>
      <w:divsChild>
        <w:div w:id="1111052284">
          <w:marLeft w:val="720"/>
          <w:marRight w:val="0"/>
          <w:marTop w:val="200"/>
          <w:marBottom w:val="0"/>
          <w:divBdr>
            <w:top w:val="none" w:sz="0" w:space="0" w:color="auto"/>
            <w:left w:val="none" w:sz="0" w:space="0" w:color="auto"/>
            <w:bottom w:val="none" w:sz="0" w:space="0" w:color="auto"/>
            <w:right w:val="none" w:sz="0" w:space="0" w:color="auto"/>
          </w:divBdr>
        </w:div>
        <w:div w:id="6644371">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56edf7-fe0f-4953-939d-963da9e3a901" xsi:nil="true"/>
    <lcf76f155ced4ddcb4097134ff3c332f xmlns="8c7d6716-9226-48e4-82ef-ce9b4f1fdf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078C7B9CD07E46BF059A37C21B6237" ma:contentTypeVersion="17" ma:contentTypeDescription="Create a new document." ma:contentTypeScope="" ma:versionID="6bb7590dce5044d2edaafb665a1d7672">
  <xsd:schema xmlns:xsd="http://www.w3.org/2001/XMLSchema" xmlns:xs="http://www.w3.org/2001/XMLSchema" xmlns:p="http://schemas.microsoft.com/office/2006/metadata/properties" xmlns:ns2="8c7d6716-9226-48e4-82ef-ce9b4f1fdfd5" xmlns:ns3="d056edf7-fe0f-4953-939d-963da9e3a901" targetNamespace="http://schemas.microsoft.com/office/2006/metadata/properties" ma:root="true" ma:fieldsID="635288b5e0815a44f46bd1d3897f9039" ns2:_="" ns3:_="">
    <xsd:import namespace="8c7d6716-9226-48e4-82ef-ce9b4f1fdfd5"/>
    <xsd:import namespace="d056edf7-fe0f-4953-939d-963da9e3a9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d6716-9226-48e4-82ef-ce9b4f1fd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f29c85-b4b5-4266-9f21-f5e427799ee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6edf7-fe0f-4953-939d-963da9e3a90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9da873f-cecd-427e-b9e9-4efb022c3f76}" ma:internalName="TaxCatchAll" ma:showField="CatchAllData" ma:web="d056edf7-fe0f-4953-939d-963da9e3a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054CC-90AB-4E9F-9D7D-BBFB95811B8C}">
  <ds:schemaRefs>
    <ds:schemaRef ds:uri="http://schemas.microsoft.com/office/infopath/2007/PartnerControls"/>
    <ds:schemaRef ds:uri="8c7d6716-9226-48e4-82ef-ce9b4f1fdfd5"/>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d056edf7-fe0f-4953-939d-963da9e3a901"/>
    <ds:schemaRef ds:uri="http://www.w3.org/XML/1998/namespace"/>
    <ds:schemaRef ds:uri="http://purl.org/dc/dcmitype/"/>
  </ds:schemaRefs>
</ds:datastoreItem>
</file>

<file path=customXml/itemProps2.xml><?xml version="1.0" encoding="utf-8"?>
<ds:datastoreItem xmlns:ds="http://schemas.openxmlformats.org/officeDocument/2006/customXml" ds:itemID="{B20D143C-864E-4FE9-8806-7A49E35C9DCE}">
  <ds:schemaRefs>
    <ds:schemaRef ds:uri="http://schemas.microsoft.com/sharepoint/v3/contenttype/forms"/>
  </ds:schemaRefs>
</ds:datastoreItem>
</file>

<file path=customXml/itemProps3.xml><?xml version="1.0" encoding="utf-8"?>
<ds:datastoreItem xmlns:ds="http://schemas.openxmlformats.org/officeDocument/2006/customXml" ds:itemID="{6E3DD26C-288B-4C98-A153-BE294DAD3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d6716-9226-48e4-82ef-ce9b4f1fdfd5"/>
    <ds:schemaRef ds:uri="d056edf7-fe0f-4953-939d-963da9e3a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Hanfling</dc:creator>
  <cp:keywords/>
  <dc:description/>
  <cp:lastModifiedBy>Aimee Heckel</cp:lastModifiedBy>
  <cp:revision>2</cp:revision>
  <dcterms:created xsi:type="dcterms:W3CDTF">2023-04-06T16:20:00Z</dcterms:created>
  <dcterms:modified xsi:type="dcterms:W3CDTF">2023-04-06T16:20:00Z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LEGAL02/42691919v1</vt:lpwstr>
  </property>
  <property fmtid="{D5CDD505-2E9C-101B-9397-08002B2CF9AE}" pid="3" name="CUS_DocIDChunk0">
    <vt:lpwstr>LEGAL02/42691919v1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0x0101008F873C637EFC124CAD4339FDB69E4118</vt:lpwstr>
  </property>
  <property fmtid="{D5CDD505-2E9C-101B-9397-08002B2CF9AE}" pid="8" name="MediaServiceImageTags">
    <vt:lpwstr/>
  </property>
</Properties>
</file>